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CA9CE" w14:textId="7B735DF2" w:rsidR="00701216" w:rsidRDefault="00701216" w:rsidP="00701216">
      <w:pPr>
        <w:jc w:val="center"/>
        <w:rPr>
          <w:lang w:val="pl-PL"/>
        </w:rPr>
      </w:pPr>
      <w:r>
        <w:rPr>
          <w:rStyle w:val="s4f807e54"/>
          <w:rFonts w:ascii="Arial" w:hAnsi="Arial" w:cs="Arial"/>
          <w:sz w:val="18"/>
          <w:szCs w:val="18"/>
          <w:lang w:val="pl-PL"/>
        </w:rPr>
        <w:t xml:space="preserve">© Copyright for the </w:t>
      </w:r>
      <w:proofErr w:type="spellStart"/>
      <w:r>
        <w:rPr>
          <w:rStyle w:val="s4f807e54"/>
          <w:rFonts w:ascii="Arial" w:hAnsi="Arial" w:cs="Arial"/>
          <w:sz w:val="18"/>
          <w:szCs w:val="18"/>
          <w:lang w:val="pl-PL"/>
        </w:rPr>
        <w:t>Polish</w:t>
      </w:r>
      <w:proofErr w:type="spellEnd"/>
      <w:r>
        <w:rPr>
          <w:rStyle w:val="s4f807e54"/>
          <w:rFonts w:ascii="Arial" w:hAnsi="Arial" w:cs="Arial"/>
          <w:sz w:val="18"/>
          <w:szCs w:val="18"/>
          <w:lang w:val="pl-PL"/>
        </w:rPr>
        <w:t xml:space="preserve"> </w:t>
      </w:r>
      <w:proofErr w:type="spellStart"/>
      <w:r>
        <w:rPr>
          <w:rStyle w:val="s4f807e54"/>
          <w:rFonts w:ascii="Arial" w:hAnsi="Arial" w:cs="Arial"/>
          <w:sz w:val="18"/>
          <w:szCs w:val="18"/>
          <w:lang w:val="pl-PL"/>
        </w:rPr>
        <w:t>translation</w:t>
      </w:r>
      <w:proofErr w:type="spellEnd"/>
      <w:r>
        <w:rPr>
          <w:rStyle w:val="s4f807e54"/>
          <w:rFonts w:ascii="Arial" w:hAnsi="Arial" w:cs="Arial"/>
          <w:sz w:val="18"/>
          <w:szCs w:val="18"/>
          <w:lang w:val="pl-PL"/>
        </w:rPr>
        <w:t xml:space="preserve"> by Naczelny Są</w:t>
      </w:r>
      <w:r w:rsidR="000D36C6">
        <w:rPr>
          <w:rStyle w:val="s4f807e54"/>
          <w:rFonts w:ascii="Arial" w:hAnsi="Arial" w:cs="Arial"/>
          <w:sz w:val="18"/>
          <w:szCs w:val="18"/>
          <w:lang w:val="pl-PL"/>
        </w:rPr>
        <w:t>d Administracyjny, Warszawa 2022</w:t>
      </w:r>
      <w:bookmarkStart w:id="0" w:name="_GoBack"/>
      <w:bookmarkEnd w:id="0"/>
    </w:p>
    <w:p w14:paraId="15744CE1" w14:textId="77777777" w:rsidR="009A7E81" w:rsidRPr="0043093E" w:rsidRDefault="009A7E81" w:rsidP="00245443">
      <w:pPr>
        <w:pStyle w:val="DecHCase"/>
        <w:jc w:val="left"/>
      </w:pPr>
    </w:p>
    <w:p w14:paraId="4AD1B187" w14:textId="77777777" w:rsidR="009A7E81" w:rsidRPr="0043093E" w:rsidRDefault="009A7E81" w:rsidP="0043093E">
      <w:pPr>
        <w:pStyle w:val="DecHCase"/>
      </w:pPr>
      <w:r>
        <w:rPr>
          <w:lang w:val="pl"/>
        </w:rPr>
        <w:t>SEKCJA TRZECIA</w:t>
      </w:r>
    </w:p>
    <w:p w14:paraId="1BD2FD9B" w14:textId="0290DA06" w:rsidR="009A7E81" w:rsidRPr="0043093E" w:rsidRDefault="009A7E81" w:rsidP="0043093E">
      <w:pPr>
        <w:pStyle w:val="JuTitle"/>
      </w:pPr>
      <w:bookmarkStart w:id="1" w:name="To"/>
      <w:r>
        <w:rPr>
          <w:bCs/>
          <w:lang w:val="pl"/>
        </w:rPr>
        <w:t>SPRAWA</w:t>
      </w:r>
      <w:bookmarkEnd w:id="1"/>
      <w:r w:rsidR="00CE5026">
        <w:rPr>
          <w:bCs/>
          <w:lang w:val="pl"/>
        </w:rPr>
        <w:t xml:space="preserve"> </w:t>
      </w:r>
      <w:r>
        <w:rPr>
          <w:bCs/>
          <w:lang w:val="pl"/>
        </w:rPr>
        <w:t>SAQUETTI IGLESIAS przeciwko HISZPANII</w:t>
      </w:r>
    </w:p>
    <w:p w14:paraId="316C79ED" w14:textId="77777777" w:rsidR="009A7E81" w:rsidRPr="0043093E" w:rsidRDefault="009A7E81" w:rsidP="0043093E">
      <w:pPr>
        <w:pStyle w:val="ECHRCoverTitle4"/>
      </w:pPr>
      <w:r>
        <w:rPr>
          <w:iCs/>
          <w:lang w:val="pl"/>
        </w:rPr>
        <w:t>(Skarga nr 50514/13)</w:t>
      </w:r>
    </w:p>
    <w:p w14:paraId="6D6CC658" w14:textId="4F988A15" w:rsidR="009A7E81" w:rsidRPr="0043093E" w:rsidRDefault="009A7E81" w:rsidP="00245443">
      <w:pPr>
        <w:pStyle w:val="DecHCase"/>
        <w:jc w:val="left"/>
      </w:pPr>
    </w:p>
    <w:p w14:paraId="4669910B" w14:textId="39735922" w:rsidR="009A7E81" w:rsidRPr="0043093E" w:rsidRDefault="009A7E81" w:rsidP="00245443">
      <w:pPr>
        <w:pStyle w:val="DecHCase"/>
      </w:pPr>
      <w:r>
        <w:rPr>
          <w:lang w:val="pl"/>
        </w:rPr>
        <w:t>WYROK</w:t>
      </w:r>
    </w:p>
    <w:p w14:paraId="5AEE2B43" w14:textId="7B7AC84A" w:rsidR="009A7E81" w:rsidRPr="0043093E" w:rsidRDefault="009A7E81" w:rsidP="0043093E">
      <w:pPr>
        <w:pBdr>
          <w:top w:val="single" w:sz="4" w:space="1" w:color="auto"/>
          <w:left w:val="single" w:sz="4" w:space="4" w:color="auto"/>
          <w:bottom w:val="single" w:sz="4" w:space="1" w:color="auto"/>
          <w:right w:val="single" w:sz="4" w:space="4" w:color="auto"/>
        </w:pBdr>
        <w:jc w:val="both"/>
        <w:rPr>
          <w:sz w:val="22"/>
          <w:szCs w:val="22"/>
        </w:rPr>
      </w:pPr>
      <w:r>
        <w:rPr>
          <w:sz w:val="22"/>
          <w:szCs w:val="22"/>
          <w:lang w:val="pl"/>
        </w:rPr>
        <w:t xml:space="preserve">Artykuł 2 P7 - Prawo do sądu drugiej instancji w sprawach karnych • Niemożność zaskarżenia surowej grzywny celnej do "sądu drugiej instancji" bez kontroli proporcjonalności • Karny charakter sankcji zgodnie z kryteriami </w:t>
      </w:r>
      <w:proofErr w:type="spellStart"/>
      <w:r>
        <w:rPr>
          <w:i/>
          <w:iCs/>
          <w:sz w:val="22"/>
          <w:szCs w:val="22"/>
          <w:lang w:val="pl"/>
        </w:rPr>
        <w:t>Engela</w:t>
      </w:r>
      <w:proofErr w:type="spellEnd"/>
      <w:r>
        <w:rPr>
          <w:sz w:val="22"/>
          <w:szCs w:val="22"/>
          <w:lang w:val="pl"/>
        </w:rPr>
        <w:t xml:space="preserve"> • Naruszenie nie jest drobne ze względu na jego wagę, mimo braku kary pozbawienia wolności • Wysokość grzywny równa prawie całej kwocie niezgłoszonej przy opuszczeniu terytorium kraju (plus 150 000 EUR) • Pojęcie "sądu najwyższej instancji" oceniane z punktu widzenia ogólnej hierarchii sądowej, a nie progów finansowych dla wszczęcia postępowania odwoławczego • Indywidualne odwołanie do Trybunału Konstytucyjnego nie jest utożsamiane z drugą instancją, ponieważ jego przedmiot jest ograniczony • Brak kontroli proporcjonalności w ramach jedynego postępowania jurysdykcyjnego zaproponowanego skarżącemu</w:t>
      </w:r>
    </w:p>
    <w:p w14:paraId="7DFE8D97" w14:textId="77777777" w:rsidR="009A7E81" w:rsidRPr="0043093E" w:rsidRDefault="009A7E81" w:rsidP="0043093E">
      <w:pPr>
        <w:pStyle w:val="DecHCase"/>
      </w:pPr>
    </w:p>
    <w:p w14:paraId="298ADB68" w14:textId="77777777" w:rsidR="009A7E81" w:rsidRPr="0043093E" w:rsidRDefault="009A7E81" w:rsidP="0043093E">
      <w:pPr>
        <w:pStyle w:val="DecHCase"/>
      </w:pPr>
      <w:r>
        <w:rPr>
          <w:lang w:val="pl"/>
        </w:rPr>
        <w:t>STRASBOURG</w:t>
      </w:r>
    </w:p>
    <w:p w14:paraId="3840436F" w14:textId="2EF1076F" w:rsidR="009A7E81" w:rsidRPr="0043093E" w:rsidRDefault="009A7E81" w:rsidP="00701216">
      <w:pPr>
        <w:pStyle w:val="DecHCase"/>
      </w:pPr>
      <w:r>
        <w:rPr>
          <w:lang w:val="pl"/>
        </w:rPr>
        <w:t>30 czerwca 2020</w:t>
      </w:r>
    </w:p>
    <w:p w14:paraId="1467D2CB" w14:textId="77777777" w:rsidR="009A7E81" w:rsidRPr="0043093E" w:rsidRDefault="009A7E81" w:rsidP="0043093E">
      <w:pPr>
        <w:jc w:val="center"/>
      </w:pPr>
    </w:p>
    <w:p w14:paraId="6E0E6493" w14:textId="77777777" w:rsidR="009A7E81" w:rsidRPr="00CA01A0" w:rsidRDefault="009A7E81" w:rsidP="0043093E">
      <w:pPr>
        <w:pStyle w:val="jucase0"/>
        <w:ind w:firstLine="0"/>
        <w:jc w:val="center"/>
        <w:rPr>
          <w:color w:val="FF0000"/>
          <w:sz w:val="28"/>
          <w:szCs w:val="28"/>
          <w:u w:val="single"/>
          <w:lang w:val="pl-PL"/>
        </w:rPr>
      </w:pPr>
      <w:r>
        <w:rPr>
          <w:color w:val="FF0000"/>
          <w:sz w:val="28"/>
          <w:szCs w:val="28"/>
          <w:u w:val="single"/>
          <w:lang w:val="pl"/>
        </w:rPr>
        <w:t>OSTATECZNY</w:t>
      </w:r>
    </w:p>
    <w:p w14:paraId="39354966" w14:textId="77777777" w:rsidR="009A7E81" w:rsidRPr="00CA01A0" w:rsidRDefault="009A7E81" w:rsidP="0043093E">
      <w:pPr>
        <w:pStyle w:val="jucase0"/>
        <w:ind w:firstLine="0"/>
        <w:jc w:val="center"/>
        <w:rPr>
          <w:color w:val="FF0000"/>
          <w:u w:val="single"/>
          <w:lang w:val="pl-PL"/>
        </w:rPr>
      </w:pPr>
    </w:p>
    <w:p w14:paraId="4C4D9A68" w14:textId="77777777" w:rsidR="009A7E81" w:rsidRPr="00CA01A0" w:rsidRDefault="009A7E81" w:rsidP="0043093E">
      <w:pPr>
        <w:pStyle w:val="jucase0"/>
        <w:ind w:firstLine="0"/>
        <w:jc w:val="center"/>
        <w:rPr>
          <w:b w:val="0"/>
          <w:color w:val="FF0000"/>
          <w:sz w:val="28"/>
          <w:szCs w:val="28"/>
          <w:lang w:val="pl-PL"/>
        </w:rPr>
      </w:pPr>
      <w:r>
        <w:rPr>
          <w:b w:val="0"/>
          <w:bCs w:val="0"/>
          <w:color w:val="FF0000"/>
          <w:sz w:val="28"/>
          <w:szCs w:val="28"/>
          <w:lang w:val="pl"/>
        </w:rPr>
        <w:t>30/09/2020</w:t>
      </w:r>
    </w:p>
    <w:p w14:paraId="4719FC5B" w14:textId="61BB18F5" w:rsidR="009A7E81" w:rsidRPr="00CA01A0" w:rsidRDefault="009A7E81" w:rsidP="00245443">
      <w:pPr>
        <w:pStyle w:val="jupara0"/>
        <w:ind w:firstLine="0"/>
        <w:rPr>
          <w:u w:val="single"/>
          <w:lang w:val="pl-PL"/>
        </w:rPr>
      </w:pPr>
    </w:p>
    <w:p w14:paraId="4AF30693" w14:textId="557D956E" w:rsidR="009A7E81" w:rsidRPr="0043093E" w:rsidRDefault="009A7E81" w:rsidP="0043093E">
      <w:pPr>
        <w:jc w:val="center"/>
      </w:pPr>
      <w:r>
        <w:rPr>
          <w:i/>
          <w:iCs/>
          <w:sz w:val="22"/>
          <w:szCs w:val="22"/>
          <w:lang w:val="pl"/>
        </w:rPr>
        <w:t>Wyrok ten stał się ostateczny na podstawie art. 44 § 2 Konwencji.</w:t>
      </w:r>
    </w:p>
    <w:p w14:paraId="6850153C" w14:textId="77777777" w:rsidR="009A7E81" w:rsidRPr="0043093E" w:rsidRDefault="009A7E81" w:rsidP="0043093E">
      <w:pPr>
        <w:pStyle w:val="JuCase"/>
        <w:sectPr w:rsidR="009A7E81" w:rsidRPr="0043093E" w:rsidSect="007E67A7">
          <w:headerReference w:type="default" r:id="rId11"/>
          <w:footerReference w:type="even" r:id="rId12"/>
          <w:footerReference w:type="default" r:id="rId13"/>
          <w:headerReference w:type="first" r:id="rId14"/>
          <w:footerReference w:type="first" r:id="rId15"/>
          <w:footnotePr>
            <w:numRestart w:val="eachSect"/>
          </w:footnotePr>
          <w:pgSz w:w="11906" w:h="16838" w:code="9"/>
          <w:pgMar w:top="2274" w:right="2274" w:bottom="2274" w:left="2274" w:header="1701" w:footer="720" w:gutter="0"/>
          <w:pgNumType w:start="1"/>
          <w:cols w:space="720"/>
          <w:titlePg/>
          <w:docGrid w:linePitch="326"/>
        </w:sectPr>
      </w:pPr>
    </w:p>
    <w:p w14:paraId="634B84D9" w14:textId="531A707A" w:rsidR="009A7E81" w:rsidRPr="0043093E" w:rsidRDefault="009A7E81" w:rsidP="0043093E">
      <w:pPr>
        <w:pStyle w:val="JuCase"/>
      </w:pPr>
      <w:r>
        <w:rPr>
          <w:bCs/>
          <w:lang w:val="pl"/>
        </w:rPr>
        <w:lastRenderedPageBreak/>
        <w:t xml:space="preserve">W sprawie </w:t>
      </w:r>
      <w:proofErr w:type="spellStart"/>
      <w:r>
        <w:rPr>
          <w:bCs/>
          <w:lang w:val="pl"/>
        </w:rPr>
        <w:t>Saquetti</w:t>
      </w:r>
      <w:proofErr w:type="spellEnd"/>
      <w:r>
        <w:rPr>
          <w:bCs/>
          <w:lang w:val="pl"/>
        </w:rPr>
        <w:t xml:space="preserve"> Iglesias przeciwko Hiszpanii,</w:t>
      </w:r>
    </w:p>
    <w:p w14:paraId="633461CE" w14:textId="6AC60AB5" w:rsidR="009A7E81" w:rsidRPr="0043093E" w:rsidRDefault="009A7E81" w:rsidP="0043093E">
      <w:pPr>
        <w:pStyle w:val="JuPara"/>
      </w:pPr>
      <w:r>
        <w:rPr>
          <w:lang w:val="pl"/>
        </w:rPr>
        <w:t>Europejski Trybunał Praw Człowieka (Sekcja trzecia), obradujący w Izbie złożonej z :</w:t>
      </w:r>
    </w:p>
    <w:p w14:paraId="6B990808" w14:textId="77777777" w:rsidR="009A7E81" w:rsidRPr="0043093E" w:rsidRDefault="009A7E81" w:rsidP="0043093E">
      <w:pPr>
        <w:pStyle w:val="JuJudges"/>
      </w:pPr>
      <w:r>
        <w:rPr>
          <w:lang w:val="pl"/>
        </w:rPr>
        <w:tab/>
        <w:t xml:space="preserve">Paul </w:t>
      </w:r>
      <w:proofErr w:type="spellStart"/>
      <w:r>
        <w:rPr>
          <w:lang w:val="pl"/>
        </w:rPr>
        <w:t>Lemmens</w:t>
      </w:r>
      <w:proofErr w:type="spellEnd"/>
      <w:r>
        <w:rPr>
          <w:lang w:val="pl"/>
        </w:rPr>
        <w:t xml:space="preserve">, </w:t>
      </w:r>
      <w:r>
        <w:rPr>
          <w:i/>
          <w:iCs/>
          <w:lang w:val="pl"/>
        </w:rPr>
        <w:t>przewodniczący</w:t>
      </w:r>
      <w:r>
        <w:rPr>
          <w:lang w:val="pl"/>
        </w:rPr>
        <w:t>,</w:t>
      </w:r>
      <w:r>
        <w:rPr>
          <w:lang w:val="pl"/>
        </w:rPr>
        <w:br/>
      </w:r>
      <w:r>
        <w:rPr>
          <w:lang w:val="pl"/>
        </w:rPr>
        <w:tab/>
        <w:t>Helen Keller,</w:t>
      </w:r>
      <w:r>
        <w:rPr>
          <w:lang w:val="pl"/>
        </w:rPr>
        <w:br/>
      </w:r>
      <w:r>
        <w:rPr>
          <w:lang w:val="pl"/>
        </w:rPr>
        <w:tab/>
        <w:t xml:space="preserve">Alena </w:t>
      </w:r>
      <w:proofErr w:type="spellStart"/>
      <w:r>
        <w:rPr>
          <w:lang w:val="pl"/>
        </w:rPr>
        <w:t>Poláčková</w:t>
      </w:r>
      <w:proofErr w:type="spellEnd"/>
      <w:r>
        <w:rPr>
          <w:lang w:val="pl"/>
        </w:rPr>
        <w:t>,</w:t>
      </w:r>
      <w:r>
        <w:rPr>
          <w:lang w:val="pl"/>
        </w:rPr>
        <w:br/>
      </w:r>
      <w:r>
        <w:rPr>
          <w:lang w:val="pl"/>
        </w:rPr>
        <w:tab/>
      </w:r>
      <w:proofErr w:type="spellStart"/>
      <w:r>
        <w:rPr>
          <w:lang w:val="pl"/>
        </w:rPr>
        <w:t>María</w:t>
      </w:r>
      <w:proofErr w:type="spellEnd"/>
      <w:r>
        <w:rPr>
          <w:lang w:val="pl"/>
        </w:rPr>
        <w:t xml:space="preserve"> </w:t>
      </w:r>
      <w:proofErr w:type="spellStart"/>
      <w:r>
        <w:rPr>
          <w:lang w:val="pl"/>
        </w:rPr>
        <w:t>Elósegui</w:t>
      </w:r>
      <w:proofErr w:type="spellEnd"/>
      <w:r>
        <w:rPr>
          <w:lang w:val="pl"/>
        </w:rPr>
        <w:t>,</w:t>
      </w:r>
      <w:r>
        <w:rPr>
          <w:lang w:val="pl"/>
        </w:rPr>
        <w:br/>
      </w:r>
      <w:r>
        <w:rPr>
          <w:lang w:val="pl"/>
        </w:rPr>
        <w:tab/>
        <w:t xml:space="preserve">Gilberto </w:t>
      </w:r>
      <w:proofErr w:type="spellStart"/>
      <w:r>
        <w:rPr>
          <w:lang w:val="pl"/>
        </w:rPr>
        <w:t>Felici</w:t>
      </w:r>
      <w:proofErr w:type="spellEnd"/>
      <w:r>
        <w:rPr>
          <w:lang w:val="pl"/>
        </w:rPr>
        <w:t>,</w:t>
      </w:r>
      <w:r>
        <w:rPr>
          <w:lang w:val="pl"/>
        </w:rPr>
        <w:br/>
      </w:r>
      <w:r>
        <w:rPr>
          <w:lang w:val="pl"/>
        </w:rPr>
        <w:tab/>
        <w:t xml:space="preserve">Erik </w:t>
      </w:r>
      <w:proofErr w:type="spellStart"/>
      <w:r>
        <w:rPr>
          <w:lang w:val="pl"/>
        </w:rPr>
        <w:t>Wennerström</w:t>
      </w:r>
      <w:proofErr w:type="spellEnd"/>
      <w:r>
        <w:rPr>
          <w:lang w:val="pl"/>
        </w:rPr>
        <w:t>,</w:t>
      </w:r>
      <w:r>
        <w:rPr>
          <w:lang w:val="pl"/>
        </w:rPr>
        <w:br/>
      </w:r>
      <w:r>
        <w:rPr>
          <w:lang w:val="pl"/>
        </w:rPr>
        <w:tab/>
        <w:t xml:space="preserve">Lorraine </w:t>
      </w:r>
      <w:proofErr w:type="spellStart"/>
      <w:r>
        <w:rPr>
          <w:lang w:val="pl"/>
        </w:rPr>
        <w:t>Schembri</w:t>
      </w:r>
      <w:proofErr w:type="spellEnd"/>
      <w:r>
        <w:rPr>
          <w:lang w:val="pl"/>
        </w:rPr>
        <w:t xml:space="preserve"> </w:t>
      </w:r>
      <w:proofErr w:type="spellStart"/>
      <w:r>
        <w:rPr>
          <w:lang w:val="pl"/>
        </w:rPr>
        <w:t>Orland</w:t>
      </w:r>
      <w:proofErr w:type="spellEnd"/>
      <w:r>
        <w:rPr>
          <w:lang w:val="pl"/>
        </w:rPr>
        <w:t xml:space="preserve">, </w:t>
      </w:r>
      <w:r>
        <w:rPr>
          <w:i/>
          <w:iCs/>
          <w:lang w:val="pl"/>
        </w:rPr>
        <w:t>sędziowie</w:t>
      </w:r>
      <w:r>
        <w:rPr>
          <w:lang w:val="pl"/>
        </w:rPr>
        <w:t>,</w:t>
      </w:r>
      <w:r>
        <w:rPr>
          <w:lang w:val="pl"/>
        </w:rPr>
        <w:br/>
        <w:t xml:space="preserve">i Milan </w:t>
      </w:r>
      <w:proofErr w:type="spellStart"/>
      <w:r>
        <w:rPr>
          <w:rStyle w:val="JuJudgesChar"/>
          <w:lang w:val="pl"/>
        </w:rPr>
        <w:t>Blaško</w:t>
      </w:r>
      <w:proofErr w:type="spellEnd"/>
      <w:r>
        <w:rPr>
          <w:lang w:val="pl"/>
        </w:rPr>
        <w:t xml:space="preserve">, </w:t>
      </w:r>
      <w:r>
        <w:rPr>
          <w:i/>
          <w:iCs/>
          <w:lang w:val="pl"/>
        </w:rPr>
        <w:t>sekretarz sekcji</w:t>
      </w:r>
      <w:r>
        <w:rPr>
          <w:lang w:val="pl"/>
        </w:rPr>
        <w:t>,</w:t>
      </w:r>
    </w:p>
    <w:p w14:paraId="68D5FFD5" w14:textId="77777777" w:rsidR="009A7E81" w:rsidRPr="0043093E" w:rsidRDefault="009A7E81" w:rsidP="0043093E">
      <w:pPr>
        <w:pStyle w:val="JuPara"/>
      </w:pPr>
      <w:r>
        <w:rPr>
          <w:lang w:val="pl"/>
        </w:rPr>
        <w:t>Po naradzie w izbie rady w dniu 3 czerwca 2020 r,</w:t>
      </w:r>
    </w:p>
    <w:p w14:paraId="74C481FE" w14:textId="6D4A50D1" w:rsidR="009A7E81" w:rsidRPr="0043093E" w:rsidRDefault="009A7E81" w:rsidP="0043093E">
      <w:pPr>
        <w:pStyle w:val="JuPara"/>
      </w:pPr>
      <w:r>
        <w:rPr>
          <w:lang w:val="pl"/>
        </w:rPr>
        <w:t>Wydaje następujący wyrok, przyjęty w tym dniu:</w:t>
      </w:r>
    </w:p>
    <w:p w14:paraId="31BBD187" w14:textId="77777777" w:rsidR="009A7E81" w:rsidRPr="0043093E" w:rsidRDefault="009A7E81" w:rsidP="0043093E">
      <w:pPr>
        <w:pStyle w:val="JuHHead"/>
      </w:pPr>
      <w:r>
        <w:rPr>
          <w:bCs w:val="0"/>
          <w:lang w:val="pl"/>
        </w:rPr>
        <w:t>PROCEDURA</w:t>
      </w:r>
    </w:p>
    <w:p w14:paraId="0D620362" w14:textId="08DBCC30" w:rsidR="009A7E81" w:rsidRPr="0043093E" w:rsidRDefault="009A7E81" w:rsidP="0043093E">
      <w:pPr>
        <w:pStyle w:val="JuPara"/>
      </w:pPr>
      <w:r>
        <w:rPr>
          <w:lang w:val="pl"/>
        </w:rPr>
        <w:fldChar w:fldCharType="begin"/>
      </w:r>
      <w:r>
        <w:rPr>
          <w:lang w:val="pl"/>
        </w:rPr>
        <w:instrText xml:space="preserve"> SEQ level0 \*arabic \r1</w:instrText>
      </w:r>
      <w:r>
        <w:rPr>
          <w:lang w:val="pl"/>
        </w:rPr>
        <w:fldChar w:fldCharType="begin"/>
      </w:r>
      <w:r>
        <w:rPr>
          <w:lang w:val="pl"/>
        </w:rPr>
        <w:instrText xml:space="preserve"> .  SEQ level0 \*arabic \r1</w:instrText>
      </w:r>
      <w:r>
        <w:rPr>
          <w:lang w:val="pl"/>
        </w:rPr>
        <w:fldChar w:fldCharType="begin"/>
      </w:r>
      <w:r>
        <w:rPr>
          <w:lang w:val="pl"/>
        </w:rPr>
        <w:instrText xml:space="preserve"> .  SEQ level0 \*arabic \r1</w:instrText>
      </w:r>
      <w:r>
        <w:rPr>
          <w:lang w:val="pl"/>
        </w:rPr>
        <w:fldChar w:fldCharType="begin"/>
      </w:r>
      <w:r>
        <w:rPr>
          <w:lang w:val="pl"/>
        </w:rPr>
        <w:instrText xml:space="preserve"> .  SEQ level0 \*arabic \r1</w:instrText>
      </w:r>
      <w:r>
        <w:rPr>
          <w:lang w:val="pl"/>
        </w:rPr>
        <w:fldChar w:fldCharType="begin"/>
      </w:r>
      <w:r>
        <w:rPr>
          <w:lang w:val="pl"/>
        </w:rPr>
        <w:instrText xml:space="preserve"> .  SEQ level0 \*arabic \r1</w:instrText>
      </w:r>
      <w:r>
        <w:rPr>
          <w:lang w:val="pl"/>
        </w:rPr>
        <w:fldChar w:fldCharType="begin"/>
      </w:r>
      <w:r>
        <w:rPr>
          <w:lang w:val="pl"/>
        </w:rPr>
        <w:instrText xml:space="preserve"> .  SEQ level0 \*arabic \r1</w:instrText>
      </w:r>
      <w:r>
        <w:rPr>
          <w:lang w:val="pl"/>
        </w:rPr>
        <w:fldChar w:fldCharType="begin"/>
      </w:r>
      <w:r>
        <w:rPr>
          <w:lang w:val="pl"/>
        </w:rPr>
        <w:instrText xml:space="preserve"> .  SEQ level0 \*arabic \r1</w:instrText>
      </w:r>
      <w:r>
        <w:rPr>
          <w:lang w:val="pl"/>
        </w:rPr>
        <w:fldChar w:fldCharType="begin"/>
      </w:r>
      <w:r>
        <w:rPr>
          <w:lang w:val="pl"/>
        </w:rPr>
        <w:instrText xml:space="preserve"> .  SEQ level0 \*arabic \r1</w:instrText>
      </w:r>
      <w:r>
        <w:rPr>
          <w:lang w:val="pl"/>
        </w:rPr>
        <w:fldChar w:fldCharType="begin"/>
      </w:r>
      <w:r>
        <w:rPr>
          <w:lang w:val="pl"/>
        </w:rPr>
        <w:instrText xml:space="preserve"> .  SEQ level0 \*arabic \r1</w:instrText>
      </w:r>
      <w:r>
        <w:rPr>
          <w:lang w:val="pl"/>
        </w:rPr>
        <w:fldChar w:fldCharType="begin"/>
      </w:r>
      <w:r>
        <w:rPr>
          <w:lang w:val="pl"/>
        </w:rPr>
        <w:instrText xml:space="preserve"> .  SEQ level0 \*arabic \r1</w:instrText>
      </w:r>
      <w:r>
        <w:rPr>
          <w:lang w:val="pl"/>
        </w:rPr>
        <w:fldChar w:fldCharType="begin"/>
      </w:r>
      <w:r>
        <w:rPr>
          <w:lang w:val="pl"/>
        </w:rPr>
        <w:instrText xml:space="preserve"> .  SEQ level0 \*arabic \r1</w:instrText>
      </w:r>
      <w:r>
        <w:rPr>
          <w:lang w:val="pl"/>
        </w:rPr>
        <w:fldChar w:fldCharType="begin"/>
      </w:r>
      <w:r>
        <w:rPr>
          <w:lang w:val="pl"/>
        </w:rPr>
        <w:instrText xml:space="preserve"> .  SEQ level0 \*arabic \r1</w:instrText>
      </w:r>
      <w:r>
        <w:rPr>
          <w:lang w:val="pl"/>
        </w:rPr>
        <w:fldChar w:fldCharType="begin"/>
      </w:r>
      <w:r>
        <w:rPr>
          <w:lang w:val="pl"/>
        </w:rPr>
        <w:instrText xml:space="preserve"> .  SEQ level0 \*arabic \r1</w:instrText>
      </w:r>
      <w:r>
        <w:rPr>
          <w:lang w:val="pl"/>
        </w:rPr>
        <w:fldChar w:fldCharType="begin"/>
      </w:r>
      <w:r>
        <w:rPr>
          <w:lang w:val="pl"/>
        </w:rPr>
        <w:instrText xml:space="preserve"> .  SEQ level0 \*arabic </w:instrText>
      </w:r>
      <w:r>
        <w:rPr>
          <w:lang w:val="pl"/>
        </w:rPr>
        <w:fldChar w:fldCharType="separate"/>
      </w:r>
      <w:r>
        <w:rPr>
          <w:noProof/>
          <w:lang w:val="pl"/>
        </w:rPr>
        <w:instrText>1</w:instrText>
      </w:r>
      <w:r>
        <w:rPr>
          <w:lang w:val="pl"/>
        </w:rPr>
        <w:fldChar w:fldCharType="end"/>
      </w:r>
      <w:r>
        <w:rPr>
          <w:lang w:val="pl"/>
        </w:rPr>
        <w:instrText xml:space="preserve">.   </w:instrText>
      </w:r>
      <w:r>
        <w:rPr>
          <w:lang w:val="pl"/>
        </w:rPr>
        <w:fldChar w:fldCharType="separate"/>
      </w:r>
      <w:r>
        <w:rPr>
          <w:noProof/>
          <w:lang w:val="pl"/>
        </w:rPr>
        <w:instrText>1</w:instrText>
      </w:r>
      <w:r>
        <w:rPr>
          <w:lang w:val="pl"/>
        </w:rPr>
        <w:fldChar w:fldCharType="end"/>
      </w:r>
      <w:r>
        <w:rPr>
          <w:lang w:val="pl"/>
        </w:rPr>
        <w:instrText xml:space="preserve">.   </w:instrText>
      </w:r>
      <w:r>
        <w:rPr>
          <w:lang w:val="pl"/>
        </w:rPr>
        <w:fldChar w:fldCharType="separate"/>
      </w:r>
      <w:r>
        <w:rPr>
          <w:noProof/>
          <w:lang w:val="pl"/>
        </w:rPr>
        <w:instrText>1</w:instrText>
      </w:r>
      <w:r>
        <w:rPr>
          <w:lang w:val="pl"/>
        </w:rPr>
        <w:fldChar w:fldCharType="end"/>
      </w:r>
      <w:r>
        <w:rPr>
          <w:lang w:val="pl"/>
        </w:rPr>
        <w:instrText xml:space="preserve">.   </w:instrText>
      </w:r>
      <w:r>
        <w:rPr>
          <w:lang w:val="pl"/>
        </w:rPr>
        <w:fldChar w:fldCharType="separate"/>
      </w:r>
      <w:r>
        <w:rPr>
          <w:noProof/>
          <w:lang w:val="pl"/>
        </w:rPr>
        <w:instrText>1</w:instrText>
      </w:r>
      <w:r>
        <w:rPr>
          <w:lang w:val="pl"/>
        </w:rPr>
        <w:fldChar w:fldCharType="end"/>
      </w:r>
      <w:r>
        <w:rPr>
          <w:lang w:val="pl"/>
        </w:rPr>
        <w:instrText xml:space="preserve">.   </w:instrText>
      </w:r>
      <w:r>
        <w:rPr>
          <w:lang w:val="pl"/>
        </w:rPr>
        <w:fldChar w:fldCharType="separate"/>
      </w:r>
      <w:r>
        <w:rPr>
          <w:noProof/>
          <w:lang w:val="pl"/>
        </w:rPr>
        <w:instrText>1</w:instrText>
      </w:r>
      <w:r>
        <w:rPr>
          <w:lang w:val="pl"/>
        </w:rPr>
        <w:fldChar w:fldCharType="end"/>
      </w:r>
      <w:r>
        <w:rPr>
          <w:lang w:val="pl"/>
        </w:rPr>
        <w:instrText xml:space="preserve">.   </w:instrText>
      </w:r>
      <w:r>
        <w:rPr>
          <w:lang w:val="pl"/>
        </w:rPr>
        <w:fldChar w:fldCharType="separate"/>
      </w:r>
      <w:r>
        <w:rPr>
          <w:noProof/>
          <w:lang w:val="pl"/>
        </w:rPr>
        <w:instrText>1</w:instrText>
      </w:r>
      <w:r>
        <w:rPr>
          <w:lang w:val="pl"/>
        </w:rPr>
        <w:fldChar w:fldCharType="end"/>
      </w:r>
      <w:r>
        <w:rPr>
          <w:lang w:val="pl"/>
        </w:rPr>
        <w:instrText xml:space="preserve">.   </w:instrText>
      </w:r>
      <w:r>
        <w:rPr>
          <w:lang w:val="pl"/>
        </w:rPr>
        <w:fldChar w:fldCharType="separate"/>
      </w:r>
      <w:r>
        <w:rPr>
          <w:noProof/>
          <w:lang w:val="pl"/>
        </w:rPr>
        <w:instrText>1</w:instrText>
      </w:r>
      <w:r>
        <w:rPr>
          <w:lang w:val="pl"/>
        </w:rPr>
        <w:fldChar w:fldCharType="end"/>
      </w:r>
      <w:r>
        <w:rPr>
          <w:lang w:val="pl"/>
        </w:rPr>
        <w:instrText xml:space="preserve">.   </w:instrText>
      </w:r>
      <w:r>
        <w:rPr>
          <w:lang w:val="pl"/>
        </w:rPr>
        <w:fldChar w:fldCharType="separate"/>
      </w:r>
      <w:r>
        <w:rPr>
          <w:noProof/>
          <w:lang w:val="pl"/>
        </w:rPr>
        <w:instrText>1</w:instrText>
      </w:r>
      <w:r>
        <w:rPr>
          <w:lang w:val="pl"/>
        </w:rPr>
        <w:fldChar w:fldCharType="end"/>
      </w:r>
      <w:r>
        <w:rPr>
          <w:lang w:val="pl"/>
        </w:rPr>
        <w:instrText xml:space="preserve">.   </w:instrText>
      </w:r>
      <w:r>
        <w:rPr>
          <w:lang w:val="pl"/>
        </w:rPr>
        <w:fldChar w:fldCharType="separate"/>
      </w:r>
      <w:r>
        <w:rPr>
          <w:noProof/>
          <w:lang w:val="pl"/>
        </w:rPr>
        <w:instrText>1</w:instrText>
      </w:r>
      <w:r>
        <w:rPr>
          <w:lang w:val="pl"/>
        </w:rPr>
        <w:fldChar w:fldCharType="end"/>
      </w:r>
      <w:r>
        <w:rPr>
          <w:lang w:val="pl"/>
        </w:rPr>
        <w:instrText xml:space="preserve">.   </w:instrText>
      </w:r>
      <w:r>
        <w:rPr>
          <w:lang w:val="pl"/>
        </w:rPr>
        <w:fldChar w:fldCharType="separate"/>
      </w:r>
      <w:r>
        <w:rPr>
          <w:noProof/>
          <w:lang w:val="pl"/>
        </w:rPr>
        <w:instrText>1</w:instrText>
      </w:r>
      <w:r>
        <w:rPr>
          <w:lang w:val="pl"/>
        </w:rPr>
        <w:fldChar w:fldCharType="end"/>
      </w:r>
      <w:r>
        <w:rPr>
          <w:lang w:val="pl"/>
        </w:rPr>
        <w:instrText xml:space="preserve">.   </w:instrText>
      </w:r>
      <w:r>
        <w:rPr>
          <w:lang w:val="pl"/>
        </w:rPr>
        <w:fldChar w:fldCharType="separate"/>
      </w:r>
      <w:r>
        <w:rPr>
          <w:noProof/>
          <w:lang w:val="pl"/>
        </w:rPr>
        <w:instrText>1</w:instrText>
      </w:r>
      <w:r>
        <w:rPr>
          <w:lang w:val="pl"/>
        </w:rPr>
        <w:fldChar w:fldCharType="end"/>
      </w:r>
      <w:r>
        <w:rPr>
          <w:lang w:val="pl"/>
        </w:rPr>
        <w:instrText xml:space="preserve">.   </w:instrText>
      </w:r>
      <w:r>
        <w:rPr>
          <w:lang w:val="pl"/>
        </w:rPr>
        <w:fldChar w:fldCharType="separate"/>
      </w:r>
      <w:r>
        <w:rPr>
          <w:noProof/>
          <w:lang w:val="pl"/>
        </w:rPr>
        <w:instrText>1</w:instrText>
      </w:r>
      <w:r>
        <w:rPr>
          <w:lang w:val="pl"/>
        </w:rPr>
        <w:fldChar w:fldCharType="end"/>
      </w:r>
      <w:r>
        <w:rPr>
          <w:lang w:val="pl"/>
        </w:rPr>
        <w:instrText xml:space="preserve">.    </w:instrText>
      </w:r>
      <w:r>
        <w:rPr>
          <w:lang w:val="pl"/>
        </w:rPr>
        <w:fldChar w:fldCharType="separate"/>
      </w:r>
      <w:r>
        <w:rPr>
          <w:noProof/>
          <w:lang w:val="pl"/>
        </w:rPr>
        <w:instrText>1</w:instrText>
      </w:r>
      <w:r>
        <w:rPr>
          <w:lang w:val="pl"/>
        </w:rPr>
        <w:fldChar w:fldCharType="end"/>
      </w:r>
      <w:r>
        <w:rPr>
          <w:lang w:val="pl"/>
        </w:rPr>
        <w:instrText xml:space="preserve">.   </w:instrText>
      </w:r>
      <w:r>
        <w:rPr>
          <w:lang w:val="pl"/>
        </w:rPr>
        <w:fldChar w:fldCharType="separate"/>
      </w:r>
      <w:r>
        <w:rPr>
          <w:noProof/>
          <w:lang w:val="pl"/>
        </w:rPr>
        <w:t>1</w:t>
      </w:r>
      <w:r>
        <w:rPr>
          <w:lang w:val="pl"/>
        </w:rPr>
        <w:fldChar w:fldCharType="end"/>
      </w:r>
      <w:r>
        <w:rPr>
          <w:lang w:val="pl"/>
        </w:rPr>
        <w:t xml:space="preserve">.  U podstaw tej sprawy leży skarga (nr 50514/13) skierowana przeciwko Królestwu Hiszpanii wniesiona do Trybunału na podstawie artykułu 34 Konwencji o ochronie praw człowieka i podstawowych wolności ("Konwencja") przez obywatela tego Państwa, pana </w:t>
      </w:r>
      <w:proofErr w:type="spellStart"/>
      <w:r>
        <w:rPr>
          <w:lang w:val="pl"/>
        </w:rPr>
        <w:t>Martína</w:t>
      </w:r>
      <w:proofErr w:type="spellEnd"/>
      <w:r>
        <w:rPr>
          <w:lang w:val="pl"/>
        </w:rPr>
        <w:t xml:space="preserve"> </w:t>
      </w:r>
      <w:proofErr w:type="spellStart"/>
      <w:r>
        <w:rPr>
          <w:lang w:val="pl"/>
        </w:rPr>
        <w:t>Saquetti</w:t>
      </w:r>
      <w:proofErr w:type="spellEnd"/>
      <w:r>
        <w:rPr>
          <w:lang w:val="pl"/>
        </w:rPr>
        <w:t xml:space="preserve"> Iglesiasa ("skarżący"), w dniu 29 lipca 2013 roku.</w:t>
      </w:r>
    </w:p>
    <w:p w14:paraId="04288A31" w14:textId="03D45D5F" w:rsidR="009A7E81" w:rsidRPr="0043093E" w:rsidRDefault="009A7E81" w:rsidP="0043093E">
      <w:pPr>
        <w:pStyle w:val="JuPara"/>
        <w:rPr>
          <w:rFonts w:ascii="Times New Roman" w:hAnsi="Times New Roman" w:cs="Times New Roman"/>
          <w:color w:val="000000"/>
        </w:rPr>
      </w:pPr>
      <w:r>
        <w:rPr>
          <w:lang w:val="pl"/>
        </w:rPr>
        <w:fldChar w:fldCharType="begin"/>
      </w:r>
      <w:r>
        <w:rPr>
          <w:lang w:val="pl"/>
        </w:rPr>
        <w:instrText xml:space="preserve"> SEQ level0 \*arabic </w:instrText>
      </w:r>
      <w:r>
        <w:rPr>
          <w:lang w:val="pl"/>
        </w:rPr>
        <w:fldChar w:fldCharType="separate"/>
      </w:r>
      <w:r>
        <w:rPr>
          <w:noProof/>
          <w:lang w:val="pl"/>
        </w:rPr>
        <w:t>2</w:t>
      </w:r>
      <w:r>
        <w:rPr>
          <w:lang w:val="pl"/>
        </w:rPr>
        <w:fldChar w:fldCharType="end"/>
      </w:r>
      <w:r>
        <w:rPr>
          <w:lang w:val="pl"/>
        </w:rPr>
        <w:t xml:space="preserve">.  Skarżący był reprezentowany przez J.E. </w:t>
      </w:r>
      <w:proofErr w:type="spellStart"/>
      <w:r>
        <w:rPr>
          <w:lang w:val="pl"/>
        </w:rPr>
        <w:t>Raschetti</w:t>
      </w:r>
      <w:proofErr w:type="spellEnd"/>
      <w:r>
        <w:rPr>
          <w:lang w:val="pl"/>
        </w:rPr>
        <w:t xml:space="preserve"> </w:t>
      </w:r>
      <w:proofErr w:type="spellStart"/>
      <w:r>
        <w:rPr>
          <w:lang w:val="pl"/>
        </w:rPr>
        <w:t>Rocca</w:t>
      </w:r>
      <w:proofErr w:type="spellEnd"/>
      <w:r>
        <w:rPr>
          <w:lang w:val="pl"/>
        </w:rPr>
        <w:t xml:space="preserve">, adwokata z Madrytu. Rząd hiszpański ("Rząd") był reprezentowany przez swojego pełnomocnika, </w:t>
      </w:r>
      <w:r>
        <w:rPr>
          <w:rFonts w:ascii="Times New Roman" w:hAnsi="Times New Roman"/>
          <w:color w:val="000000"/>
          <w:lang w:val="pl"/>
        </w:rPr>
        <w:t xml:space="preserve">pana R.-A. León </w:t>
      </w:r>
      <w:proofErr w:type="spellStart"/>
      <w:r>
        <w:rPr>
          <w:rFonts w:ascii="Times New Roman" w:hAnsi="Times New Roman"/>
          <w:color w:val="000000"/>
          <w:lang w:val="pl"/>
        </w:rPr>
        <w:t>Cavero</w:t>
      </w:r>
      <w:proofErr w:type="spellEnd"/>
      <w:r>
        <w:rPr>
          <w:rFonts w:ascii="Times New Roman" w:hAnsi="Times New Roman"/>
          <w:color w:val="000000"/>
          <w:lang w:val="pl"/>
        </w:rPr>
        <w:t>, prawnika państwowego i szefa departamentu prawnego ds. praw człowieka w Ministerstwie Sprawiedliwości</w:t>
      </w:r>
      <w:r>
        <w:rPr>
          <w:lang w:val="pl"/>
        </w:rPr>
        <w:t>.</w:t>
      </w:r>
    </w:p>
    <w:p w14:paraId="224A2722" w14:textId="3C7F37A8"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3</w:t>
      </w:r>
      <w:r>
        <w:rPr>
          <w:lang w:val="pl"/>
        </w:rPr>
        <w:fldChar w:fldCharType="end"/>
      </w:r>
      <w:r>
        <w:rPr>
          <w:lang w:val="pl"/>
        </w:rPr>
        <w:t>.  W dniach 13 czerwca 2014 roku i 2 października 2019 roku skarga dotycząca artykułu 2 § 1 Protokołu nr 7 do Konwencji została zakomunikowana Rządowi, a skarga została uznana za niedopuszczalną w pozostałym zakresie zgodnie z art. 54 § 3 Regulaminu Trybunału.</w:t>
      </w:r>
    </w:p>
    <w:p w14:paraId="21D47C4D" w14:textId="77777777" w:rsidR="00087E79" w:rsidRDefault="00087E79" w:rsidP="00087E79">
      <w:pPr>
        <w:pStyle w:val="JuPara"/>
        <w:ind w:firstLine="0"/>
      </w:pPr>
    </w:p>
    <w:p w14:paraId="4AD16DEF" w14:textId="07980BC2" w:rsidR="00087E79" w:rsidRPr="00D82B67" w:rsidRDefault="005155A5" w:rsidP="00087E79">
      <w:pPr>
        <w:pStyle w:val="JuPara"/>
        <w:ind w:firstLine="0"/>
        <w:rPr>
          <w:sz w:val="28"/>
          <w:szCs w:val="28"/>
        </w:rPr>
      </w:pPr>
      <w:r w:rsidRPr="00D82B67">
        <w:rPr>
          <w:sz w:val="28"/>
          <w:szCs w:val="28"/>
          <w:lang w:val="pl"/>
        </w:rPr>
        <w:t>FAKTY</w:t>
      </w:r>
    </w:p>
    <w:p w14:paraId="58C6EA01" w14:textId="77777777" w:rsidR="00087E79" w:rsidRDefault="00087E79" w:rsidP="00087E79">
      <w:pPr>
        <w:pStyle w:val="JuPara"/>
        <w:ind w:firstLine="0"/>
      </w:pPr>
    </w:p>
    <w:p w14:paraId="16B7C511" w14:textId="035A3B55" w:rsidR="00087E79" w:rsidRPr="00D82B67" w:rsidRDefault="00087E79" w:rsidP="00087E79">
      <w:pPr>
        <w:pStyle w:val="JuPara"/>
        <w:ind w:firstLine="0"/>
        <w:rPr>
          <w:i/>
          <w:iCs/>
        </w:rPr>
      </w:pPr>
      <w:r w:rsidRPr="00D82B67">
        <w:rPr>
          <w:i/>
          <w:iCs/>
          <w:lang w:val="pl"/>
        </w:rPr>
        <w:t xml:space="preserve">"[Paragrafy 4 - 18 wyroku pominięto i zastąpiono tłumaczeniem poniższego streszczenia przygotowanego przez Kancelarię Europejskiego Trybunału Praw Człowieka </w:t>
      </w:r>
    </w:p>
    <w:p w14:paraId="230FE70F" w14:textId="77777777" w:rsidR="00087E79" w:rsidRPr="00D82B67" w:rsidRDefault="00087E79" w:rsidP="00087E79">
      <w:pPr>
        <w:pStyle w:val="JuPara"/>
        <w:ind w:firstLine="0"/>
        <w:rPr>
          <w:i/>
          <w:iCs/>
        </w:rPr>
      </w:pPr>
    </w:p>
    <w:p w14:paraId="341FE1AC" w14:textId="50A23E3D" w:rsidR="00087E79" w:rsidRPr="00D82B67" w:rsidRDefault="00087E79" w:rsidP="00087E79">
      <w:pPr>
        <w:pStyle w:val="JuPara"/>
        <w:ind w:firstLine="0"/>
        <w:rPr>
          <w:i/>
          <w:iCs/>
          <w:u w:val="single"/>
        </w:rPr>
      </w:pPr>
      <w:r w:rsidRPr="00D82B67">
        <w:rPr>
          <w:i/>
          <w:iCs/>
          <w:u w:val="single"/>
          <w:lang w:val="pl"/>
        </w:rPr>
        <w:t>Streszczenie stanu faktycznego</w:t>
      </w:r>
      <w:r w:rsidRPr="00D82B67">
        <w:rPr>
          <w:rStyle w:val="Odwoanieprzypisudolnego"/>
          <w:lang w:val="pl"/>
        </w:rPr>
        <w:footnoteReference w:id="1"/>
      </w:r>
    </w:p>
    <w:p w14:paraId="2D3EB38A" w14:textId="77777777" w:rsidR="00087E79" w:rsidRPr="00D82B67" w:rsidRDefault="00087E79" w:rsidP="00087E79">
      <w:pPr>
        <w:pStyle w:val="ClinContent"/>
        <w:rPr>
          <w:rFonts w:ascii="Times New Roman" w:hAnsi="Times New Roman"/>
          <w:sz w:val="24"/>
          <w:lang w:val="pl-PL"/>
        </w:rPr>
      </w:pPr>
      <w:r w:rsidRPr="00D82B67">
        <w:rPr>
          <w:rFonts w:ascii="Times New Roman" w:hAnsi="Times New Roman"/>
          <w:sz w:val="24"/>
          <w:lang w:val="pl"/>
        </w:rPr>
        <w:lastRenderedPageBreak/>
        <w:t xml:space="preserve">W marcu 2011 r., w czasie kontroli celnej przy wyjeździe z terytorium Hiszpanii, skarżący został przyłapany z kwotą pieniężną przekraczającą limit, od którego powstaje obowiązek złożenia deklaracji (10 000 EUR). Właściwy organ ukarał go grzywną w wysokości 153 800 EUR – stanowiącą prawie równowartość przedmiotowej kwoty pieniężnej. Skarżący wyjaśnił, że pieniądze pochodziły z wwozów gotówki przy powrotach z podróży do Argentyny, które były zgodnie z prawem zadeklarowane na kwotę przekraczającą w sumie 300 000 EUR w ciągu dekady. </w:t>
      </w:r>
    </w:p>
    <w:p w14:paraId="597A9364" w14:textId="77777777" w:rsidR="00087E79" w:rsidRPr="00D82B67" w:rsidRDefault="00087E79" w:rsidP="00087E79">
      <w:pPr>
        <w:pStyle w:val="ClinContent"/>
        <w:rPr>
          <w:rFonts w:ascii="Times New Roman" w:hAnsi="Times New Roman"/>
          <w:sz w:val="24"/>
          <w:lang w:val="pl-PL"/>
        </w:rPr>
      </w:pPr>
      <w:r w:rsidRPr="00D82B67">
        <w:rPr>
          <w:rFonts w:ascii="Times New Roman" w:hAnsi="Times New Roman"/>
          <w:sz w:val="24"/>
          <w:lang w:val="pl"/>
        </w:rPr>
        <w:t xml:space="preserve">W październiku 2011 r. skarżący złożył skargę administracyjną. W 2013 r. Wyższy Trybunał Sprawiedliwości w Madrycie oddalił tę skargę, wskazując, że od tego wyroku administracyjnego nie przysługuje środek zaskarżenia, gdyż w międzyczasie zmieniono ustawę, podnosząc próg uprawniający do złożenia kasacji zależnej od kwoty sporu (z wyjątkiem postępowań </w:t>
      </w:r>
      <w:proofErr w:type="spellStart"/>
      <w:r w:rsidRPr="00D82B67">
        <w:rPr>
          <w:rFonts w:ascii="Times New Roman" w:hAnsi="Times New Roman"/>
          <w:sz w:val="24"/>
          <w:lang w:val="pl"/>
        </w:rPr>
        <w:t>ws</w:t>
      </w:r>
      <w:proofErr w:type="spellEnd"/>
      <w:r w:rsidRPr="00D82B67">
        <w:rPr>
          <w:rFonts w:ascii="Times New Roman" w:hAnsi="Times New Roman"/>
          <w:sz w:val="24"/>
          <w:lang w:val="pl"/>
        </w:rPr>
        <w:t xml:space="preserve">. ochrony praw podstawowych): próg, który poprzednio wynosił 150 000 EUR, został podniesiony do 600 000 EUR. W świetle przepisu przejściowego wciąż zawisłe kasacje podlegały starym uregulowaniom proceduralnym do czasu wydania wyroku przez właściwy sąd. </w:t>
      </w:r>
    </w:p>
    <w:p w14:paraId="11CC1913" w14:textId="3B40EEE5" w:rsidR="009A7E81" w:rsidRPr="00CA01A0" w:rsidRDefault="00087E79" w:rsidP="00087E79">
      <w:pPr>
        <w:pStyle w:val="ClinContent"/>
        <w:rPr>
          <w:rFonts w:ascii="Times New Roman" w:hAnsi="Times New Roman"/>
          <w:sz w:val="24"/>
          <w:lang w:val="pl-PL"/>
        </w:rPr>
      </w:pPr>
      <w:r w:rsidRPr="00D82B67">
        <w:rPr>
          <w:rFonts w:ascii="Times New Roman" w:hAnsi="Times New Roman"/>
          <w:sz w:val="24"/>
          <w:lang w:val="pl"/>
        </w:rPr>
        <w:t xml:space="preserve">Skarżąc się między innymi na natychmiastowe zastosowanie nowego prawa do jego zawisłej sprawy, skarżący złożył skargę z powodu naruszania praw i wolności obywatelskich (tzw. skargę </w:t>
      </w:r>
      <w:proofErr w:type="spellStart"/>
      <w:r w:rsidRPr="00D82B67">
        <w:rPr>
          <w:rFonts w:ascii="Times New Roman" w:hAnsi="Times New Roman"/>
          <w:i/>
          <w:iCs/>
          <w:sz w:val="24"/>
          <w:lang w:val="pl"/>
        </w:rPr>
        <w:t>amparo</w:t>
      </w:r>
      <w:proofErr w:type="spellEnd"/>
      <w:r w:rsidRPr="00D82B67">
        <w:rPr>
          <w:rFonts w:ascii="Times New Roman" w:hAnsi="Times New Roman"/>
          <w:sz w:val="24"/>
          <w:lang w:val="pl"/>
        </w:rPr>
        <w:t>) do Trybunału Konstytucyjnego, który oddalił je na tej podstawie, że skarżący nie uzasadnił odpowiednio konstytucyjnego znaczenia jego skargi.</w:t>
      </w:r>
      <w:r>
        <w:rPr>
          <w:rFonts w:ascii="Times New Roman" w:hAnsi="Times New Roman"/>
          <w:sz w:val="24"/>
          <w:lang w:val="pl"/>
        </w:rPr>
        <w:t xml:space="preserve"> </w:t>
      </w:r>
    </w:p>
    <w:p w14:paraId="0EB570F7" w14:textId="283EFE7E" w:rsidR="009A7E81" w:rsidRPr="0043093E" w:rsidRDefault="000B1D94" w:rsidP="0043093E">
      <w:pPr>
        <w:pStyle w:val="JuHHead"/>
      </w:pPr>
      <w:r>
        <w:rPr>
          <w:bCs w:val="0"/>
          <w:lang w:val="pl"/>
        </w:rPr>
        <w:t>PRAWO</w:t>
      </w:r>
    </w:p>
    <w:p w14:paraId="61BB5E10" w14:textId="7696C53B" w:rsidR="009A7E81" w:rsidRPr="0043093E" w:rsidRDefault="009A7E81" w:rsidP="0043093E">
      <w:pPr>
        <w:pStyle w:val="JuHIRoman"/>
      </w:pPr>
      <w:r>
        <w:rPr>
          <w:bCs w:val="0"/>
          <w:lang w:val="pl"/>
        </w:rPr>
        <w:t>W SPRAWIE DOMNIEMANEGO NARUSZENIA ARTYKUŁU 2 PROTOKOŁU NR 7 DO KONWENCJI</w:t>
      </w:r>
      <w:r>
        <w:rPr>
          <w:bCs w:val="0"/>
          <w:caps w:val="0"/>
          <w:vertAlign w:val="superscript"/>
          <w:lang w:val="pl"/>
        </w:rPr>
        <w:t>o</w:t>
      </w:r>
      <w:r>
        <w:rPr>
          <w:bCs w:val="0"/>
          <w:lang w:val="pl"/>
        </w:rPr>
        <w:t>7 DO KONWENCJI</w:t>
      </w:r>
    </w:p>
    <w:p w14:paraId="6C147DB3" w14:textId="427CC842"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18</w:t>
      </w:r>
      <w:r>
        <w:rPr>
          <w:lang w:val="pl"/>
        </w:rPr>
        <w:fldChar w:fldCharType="end"/>
      </w:r>
      <w:r>
        <w:rPr>
          <w:lang w:val="pl"/>
        </w:rPr>
        <w:t>.  Skarżący zarzuca, że</w:t>
      </w:r>
      <w:r w:rsidR="00CA01A0">
        <w:rPr>
          <w:lang w:val="pl"/>
        </w:rPr>
        <w:t xml:space="preserve"> </w:t>
      </w:r>
      <w:r>
        <w:rPr>
          <w:rFonts w:ascii="Times New Roman" w:hAnsi="Times New Roman"/>
          <w:color w:val="000000"/>
          <w:lang w:val="pl"/>
        </w:rPr>
        <w:t>nie miał możliwości poddania wyroku Sądu Najwyższego w Madrycie kontroli sądu wyższej instancji. Opiera się w tym względzie na art. 2 Protokołu nr 7 do Konwencji, który brzmi następująco: "1.</w:t>
      </w:r>
    </w:p>
    <w:p w14:paraId="69273FD3" w14:textId="5B9124DA" w:rsidR="009A7E81" w:rsidRPr="0043093E" w:rsidRDefault="009A7E81" w:rsidP="0043093E">
      <w:pPr>
        <w:pStyle w:val="JuQuot"/>
      </w:pPr>
      <w:r>
        <w:rPr>
          <w:lang w:val="pl"/>
        </w:rPr>
        <w:t>  Każdy skazany przez sąd za przestępstwo ma prawo do ponownego rozpatrzenia wyroku lub kary przez sąd wyższej instancji. Korzystanie z tego prawa, w tym podstawy, na jakich może być ono wykonywane, podlega prawu.</w:t>
      </w:r>
    </w:p>
    <w:p w14:paraId="21C86EFA" w14:textId="0EA4F268" w:rsidR="009A7E81" w:rsidRPr="0043093E" w:rsidRDefault="009A7E81" w:rsidP="0043093E">
      <w:pPr>
        <w:pStyle w:val="JuQuot"/>
      </w:pPr>
      <w:r>
        <w:rPr>
          <w:lang w:val="pl"/>
        </w:rPr>
        <w:t>2.  Wyjątki od tego prawa mogą dotyczyć drobnych przestępstw określonych w ustawie lub gdy dana osoba była sądzona w pierwszej instancji przez sąd najwyższy lub została skazana i ukarana w wyniku odwołania od wyroku uniewinniającego.”</w:t>
      </w:r>
    </w:p>
    <w:p w14:paraId="215620D3" w14:textId="3AC2DD0C" w:rsidR="009A7E81" w:rsidRPr="0043093E" w:rsidRDefault="00886D6E" w:rsidP="0043093E">
      <w:pPr>
        <w:pStyle w:val="JuHA"/>
      </w:pPr>
      <w:r>
        <w:rPr>
          <w:lang w:val="pl"/>
        </w:rPr>
        <w:lastRenderedPageBreak/>
        <w:t>Dopuszczalność</w:t>
      </w:r>
    </w:p>
    <w:p w14:paraId="0035F461" w14:textId="1FE8310A"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19</w:t>
      </w:r>
      <w:r>
        <w:rPr>
          <w:lang w:val="pl"/>
        </w:rPr>
        <w:fldChar w:fldCharType="end"/>
      </w:r>
      <w:r>
        <w:rPr>
          <w:lang w:val="pl"/>
        </w:rPr>
        <w:t>.  Uznając, że skarga nie była w sposób oczywisty źle uzasadniona w rozumieniu Artykułu 35 § 3 (a) Konwencji oraz że nie podnosiła żadnych innych podstaw niedopuszczalności, Trybunał uznał ją za dopuszczalną.</w:t>
      </w:r>
    </w:p>
    <w:p w14:paraId="30ECE9C8" w14:textId="56D9E460" w:rsidR="009A7E81" w:rsidRPr="0043093E" w:rsidRDefault="00F94153" w:rsidP="0043093E">
      <w:pPr>
        <w:pStyle w:val="JuHA"/>
      </w:pPr>
      <w:r>
        <w:rPr>
          <w:lang w:val="pl"/>
        </w:rPr>
        <w:t>Przedmiot skargi</w:t>
      </w:r>
    </w:p>
    <w:p w14:paraId="0BD16E82" w14:textId="035F1352" w:rsidR="009A7E81" w:rsidRPr="0043093E" w:rsidRDefault="009A7E81" w:rsidP="0043093E">
      <w:pPr>
        <w:pStyle w:val="JuH1"/>
      </w:pPr>
      <w:r>
        <w:rPr>
          <w:bCs w:val="0"/>
          <w:lang w:val="pl"/>
        </w:rPr>
        <w:t>W przedmiocie karnego charakteru kary nałożonej na skarżącego i możliwości zastosowania art. 2 protokołu nr 7</w:t>
      </w:r>
    </w:p>
    <w:p w14:paraId="7C8932B6" w14:textId="40303FF5"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20</w:t>
      </w:r>
      <w:r>
        <w:rPr>
          <w:lang w:val="pl"/>
        </w:rPr>
        <w:fldChar w:fldCharType="end"/>
      </w:r>
      <w:r>
        <w:rPr>
          <w:lang w:val="pl"/>
        </w:rPr>
        <w:t xml:space="preserve">.  Rząd podnosił, że wniosek jest niezgodny </w:t>
      </w:r>
      <w:proofErr w:type="spellStart"/>
      <w:r>
        <w:rPr>
          <w:i/>
          <w:iCs/>
          <w:lang w:val="pl"/>
        </w:rPr>
        <w:t>ratione</w:t>
      </w:r>
      <w:proofErr w:type="spellEnd"/>
      <w:r>
        <w:rPr>
          <w:i/>
          <w:iCs/>
          <w:lang w:val="pl"/>
        </w:rPr>
        <w:t xml:space="preserve"> </w:t>
      </w:r>
      <w:proofErr w:type="spellStart"/>
      <w:r>
        <w:rPr>
          <w:i/>
          <w:iCs/>
          <w:lang w:val="pl"/>
        </w:rPr>
        <w:t>materiae</w:t>
      </w:r>
      <w:proofErr w:type="spellEnd"/>
      <w:r>
        <w:rPr>
          <w:lang w:val="pl"/>
        </w:rPr>
        <w:t xml:space="preserve"> z tego powodu, że kara nałożona na skarżącego nie może być uważana za nałożoną w domenie prawa karnego, lecz przeciwnie, jest karą administracyjną. W tym względzie wskazał, że przestępstwo skarbowe zostało usunięte z hiszpańskiego kodeksu karnego w 1996 r. i że w każdym razie ustawa 10/2010 z dnia 28 kwietnia 2010 r. O zapobieganiu prania brudnych pieniędzy i finansowaniu terroryzmu nie przewiduje w swej treści żadnych środków pozbawienia wolności. Dodaje, że to na sądach administracyjnych, a nie karnych, spoczywa obowiązek zapewnienia faktycznego wykonania kary.</w:t>
      </w:r>
    </w:p>
    <w:p w14:paraId="366B66E1" w14:textId="5BC694B1"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21</w:t>
      </w:r>
      <w:r>
        <w:rPr>
          <w:lang w:val="pl"/>
        </w:rPr>
        <w:fldChar w:fldCharType="end"/>
      </w:r>
      <w:r>
        <w:rPr>
          <w:lang w:val="pl"/>
        </w:rPr>
        <w:t>.  Zdaniem skarżącego nic nie stoi na przeszkodzie, aby nałożoną sankcję uznać za karną, zważywszy, że hiszpański kodeks karny przewiduje zasadniczo dwa rodzaje kar, a mianowicie kary pozbawienia wolności i kary pieniężne (grzywny), z których obie wiążą się z ograniczeniem praw podstawowych.</w:t>
      </w:r>
    </w:p>
    <w:p w14:paraId="51569BD5" w14:textId="169E65B4"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22</w:t>
      </w:r>
      <w:r>
        <w:rPr>
          <w:lang w:val="pl"/>
        </w:rPr>
        <w:fldChar w:fldCharType="end"/>
      </w:r>
      <w:r>
        <w:rPr>
          <w:lang w:val="pl"/>
        </w:rPr>
        <w:t xml:space="preserve">.  Trybunał przypomina, że pojęcie „wykroczenia karnego" w § 1 art. 2 Protokołu nr 7 odpowiada pojęciu "zarzutu karnego" z art. 6 § 1 Konwencji </w:t>
      </w:r>
      <w:r>
        <w:rPr>
          <w:i/>
          <w:iCs/>
          <w:lang w:val="pl"/>
        </w:rPr>
        <w:t xml:space="preserve">(zob. </w:t>
      </w:r>
      <w:proofErr w:type="spellStart"/>
      <w:r>
        <w:rPr>
          <w:i/>
          <w:iCs/>
          <w:lang w:val="pl"/>
        </w:rPr>
        <w:t>Gourepka</w:t>
      </w:r>
      <w:proofErr w:type="spellEnd"/>
      <w:r>
        <w:rPr>
          <w:i/>
          <w:iCs/>
          <w:lang w:val="pl"/>
        </w:rPr>
        <w:t xml:space="preserve"> przeciwko Ukrainie</w:t>
      </w:r>
      <w:r>
        <w:rPr>
          <w:lang w:val="pl"/>
        </w:rPr>
        <w:t xml:space="preserve">, nr 61406/00, § 55, 6 września 2005 r. oraz </w:t>
      </w:r>
      <w:proofErr w:type="spellStart"/>
      <w:r>
        <w:rPr>
          <w:i/>
          <w:iCs/>
          <w:lang w:val="pl"/>
        </w:rPr>
        <w:t>Zaicevs</w:t>
      </w:r>
      <w:proofErr w:type="spellEnd"/>
      <w:r>
        <w:rPr>
          <w:i/>
          <w:iCs/>
          <w:lang w:val="pl"/>
        </w:rPr>
        <w:t xml:space="preserve"> przeciwko Łotwie</w:t>
      </w:r>
      <w:r>
        <w:rPr>
          <w:lang w:val="pl"/>
        </w:rPr>
        <w:t xml:space="preserve">, nr 65022/01, § 53, 31 lipca 2007 r.). Zgodnie z utrwalonym orzecznictwem Trybunału, możliwość zastosowania artykułu 6 Konwencji w aspekcie prawnokarnym musi być oceniana na podstawie trzech kryteriów, powszechnie określanych jako </w:t>
      </w:r>
      <w:r>
        <w:rPr>
          <w:i/>
          <w:iCs/>
          <w:lang w:val="pl"/>
        </w:rPr>
        <w:t xml:space="preserve">"kryteria </w:t>
      </w:r>
      <w:proofErr w:type="spellStart"/>
      <w:r>
        <w:rPr>
          <w:i/>
          <w:iCs/>
          <w:lang w:val="pl"/>
        </w:rPr>
        <w:t>Engela</w:t>
      </w:r>
      <w:proofErr w:type="spellEnd"/>
      <w:r>
        <w:rPr>
          <w:lang w:val="pl"/>
        </w:rPr>
        <w:t xml:space="preserve">", a mianowicie: (a) kwalifikacji wykroczenia na poziomie krajowym, (b) charakteru wykroczenia oraz (c) stopnia surowości sankcji, której podlega dana osoba (zob. m.in. </w:t>
      </w:r>
      <w:proofErr w:type="spellStart"/>
      <w:r>
        <w:rPr>
          <w:i/>
          <w:iCs/>
          <w:lang w:val="pl"/>
        </w:rPr>
        <w:t>Ezeh</w:t>
      </w:r>
      <w:proofErr w:type="spellEnd"/>
      <w:r>
        <w:rPr>
          <w:i/>
          <w:iCs/>
          <w:lang w:val="pl"/>
        </w:rPr>
        <w:t xml:space="preserve"> i Connors przeciwko Zjednoczonemu Królestwu</w:t>
      </w:r>
      <w:r>
        <w:rPr>
          <w:lang w:val="pl"/>
        </w:rPr>
        <w:t xml:space="preserve"> [Wielka Izba], nr39665/98 i 40086/98, § 82, ETPC 2003-X). Wskazówki zawarte w prawie krajowym pozwanego Państwa są względne </w:t>
      </w:r>
      <w:r>
        <w:rPr>
          <w:i/>
          <w:iCs/>
          <w:lang w:val="pl"/>
        </w:rPr>
        <w:t>(</w:t>
      </w:r>
      <w:proofErr w:type="spellStart"/>
      <w:r>
        <w:rPr>
          <w:i/>
          <w:iCs/>
          <w:lang w:val="pl"/>
        </w:rPr>
        <w:t>Engel</w:t>
      </w:r>
      <w:proofErr w:type="spellEnd"/>
      <w:r>
        <w:rPr>
          <w:i/>
          <w:iCs/>
          <w:lang w:val="pl"/>
        </w:rPr>
        <w:t xml:space="preserve"> i inni przeciwko Holandii</w:t>
      </w:r>
      <w:r>
        <w:rPr>
          <w:lang w:val="pl"/>
        </w:rPr>
        <w:t xml:space="preserve">, 8 czerwca 1976 r., § 82, Seria A nr 22 oraz </w:t>
      </w:r>
      <w:proofErr w:type="spellStart"/>
      <w:r>
        <w:rPr>
          <w:i/>
          <w:iCs/>
          <w:lang w:val="pl"/>
        </w:rPr>
        <w:t>Öztürk</w:t>
      </w:r>
      <w:proofErr w:type="spellEnd"/>
      <w:r>
        <w:rPr>
          <w:i/>
          <w:iCs/>
          <w:lang w:val="pl"/>
        </w:rPr>
        <w:t xml:space="preserve"> przeciwko Niemcom</w:t>
      </w:r>
      <w:r>
        <w:rPr>
          <w:lang w:val="pl"/>
        </w:rPr>
        <w:t xml:space="preserve">, 21 lutego 1984 r., § 52, Seria A nr 73). Aby artykuł 6 Konwencji miał zastosowanie, wystarczy, że dane wykroczenie miało charakter karny lub narażało daną osobę na karę, która ze względu na swoją naturę i stopień surowości jest ogólnie karna </w:t>
      </w:r>
      <w:r>
        <w:rPr>
          <w:i/>
          <w:iCs/>
          <w:lang w:val="pl"/>
        </w:rPr>
        <w:t>(A i B przeciwko Norwegii</w:t>
      </w:r>
      <w:r>
        <w:rPr>
          <w:lang w:val="pl"/>
        </w:rPr>
        <w:t xml:space="preserve"> [Wielka Izba], nr 24130/11 i 29758/11, §§ 105 i 107, 15 listopada 2016 r.).</w:t>
      </w:r>
    </w:p>
    <w:p w14:paraId="02A508E8" w14:textId="3E02006B" w:rsidR="009A7E81" w:rsidRPr="0043093E" w:rsidRDefault="009A7E81" w:rsidP="0043093E">
      <w:pPr>
        <w:pStyle w:val="JuPara"/>
        <w:rPr>
          <w:rFonts w:eastAsia="Times New Roman"/>
        </w:rPr>
      </w:pPr>
      <w:r>
        <w:rPr>
          <w:lang w:val="pl"/>
        </w:rPr>
        <w:lastRenderedPageBreak/>
        <w:fldChar w:fldCharType="begin"/>
      </w:r>
      <w:r>
        <w:rPr>
          <w:lang w:val="pl"/>
        </w:rPr>
        <w:instrText xml:space="preserve"> SEQ level0 \*arabic </w:instrText>
      </w:r>
      <w:r>
        <w:rPr>
          <w:lang w:val="pl"/>
        </w:rPr>
        <w:fldChar w:fldCharType="separate"/>
      </w:r>
      <w:r>
        <w:rPr>
          <w:noProof/>
          <w:lang w:val="pl"/>
        </w:rPr>
        <w:t>23</w:t>
      </w:r>
      <w:r>
        <w:rPr>
          <w:lang w:val="pl"/>
        </w:rPr>
        <w:fldChar w:fldCharType="end"/>
      </w:r>
      <w:r>
        <w:rPr>
          <w:lang w:val="pl"/>
        </w:rPr>
        <w:t xml:space="preserve">.  Przechodząc do okoliczności sprawy, Trybunał zauważa, w odniesieniu do pierwszego kryterium, że czyny, o które skarżący został oskarżony - zlekceważenie art. 52 § 3 ustawy nr 10/2010 z dnia 28 kwietnia 2010 r. o zapobieganiu praniu brudnych pieniędzy i finansowaniu terroryzmu - stanowiły "wykroczenie administracyjne" (art. 50 tej ustawy). Czyny te należały do kompetencji sądów administracyjnych, a nie karnych, a w każdym razie nie podlegały karze pozbawienia wolności (zob. </w:t>
      </w:r>
      <w:r>
        <w:rPr>
          <w:i/>
          <w:iCs/>
          <w:lang w:val="pl"/>
        </w:rPr>
        <w:t>a contrario</w:t>
      </w:r>
      <w:r>
        <w:rPr>
          <w:lang w:val="pl"/>
        </w:rPr>
        <w:t xml:space="preserve">, </w:t>
      </w:r>
      <w:proofErr w:type="spellStart"/>
      <w:r>
        <w:rPr>
          <w:i/>
          <w:iCs/>
          <w:lang w:val="pl"/>
        </w:rPr>
        <w:t>Stanchev</w:t>
      </w:r>
      <w:proofErr w:type="spellEnd"/>
      <w:r>
        <w:rPr>
          <w:i/>
          <w:iCs/>
          <w:lang w:val="pl"/>
        </w:rPr>
        <w:t xml:space="preserve"> przeciwko Bułgarii</w:t>
      </w:r>
      <w:r>
        <w:rPr>
          <w:lang w:val="pl"/>
        </w:rPr>
        <w:t xml:space="preserve">, nr 8682/02, § 45, 1 października 2009 r.).  Wyżej wymieniona ustawa kwalifikuje zachowanie będące przedmiotem niniejszej sprawy jako "poważne wykroczenie", którego maksymalną karą przewidzianą w art. 57 jest kara grzywny. W żadnym wypadku sankcja ta nie może zostać przekształcona w karę pozbawienia wolności (zob. </w:t>
      </w:r>
      <w:r>
        <w:rPr>
          <w:i/>
          <w:iCs/>
          <w:lang w:val="pl"/>
        </w:rPr>
        <w:t>mutatis mutandis</w:t>
      </w:r>
      <w:r>
        <w:rPr>
          <w:lang w:val="pl"/>
        </w:rPr>
        <w:t xml:space="preserve">, </w:t>
      </w:r>
      <w:proofErr w:type="spellStart"/>
      <w:r>
        <w:rPr>
          <w:i/>
          <w:iCs/>
          <w:lang w:val="pl"/>
        </w:rPr>
        <w:t>Kurdov</w:t>
      </w:r>
      <w:proofErr w:type="spellEnd"/>
      <w:r>
        <w:rPr>
          <w:i/>
          <w:iCs/>
          <w:lang w:val="pl"/>
        </w:rPr>
        <w:t xml:space="preserve"> i </w:t>
      </w:r>
      <w:proofErr w:type="spellStart"/>
      <w:r>
        <w:rPr>
          <w:i/>
          <w:iCs/>
          <w:lang w:val="pl"/>
        </w:rPr>
        <w:t>Ivanov</w:t>
      </w:r>
      <w:proofErr w:type="spellEnd"/>
      <w:r>
        <w:rPr>
          <w:i/>
          <w:iCs/>
          <w:lang w:val="pl"/>
        </w:rPr>
        <w:t xml:space="preserve"> przeciwko Bułgarii</w:t>
      </w:r>
      <w:r>
        <w:rPr>
          <w:lang w:val="pl"/>
        </w:rPr>
        <w:t>, nr 16137/04, § 44, 31 maja 2011 r.).</w:t>
      </w:r>
    </w:p>
    <w:p w14:paraId="10536D8C" w14:textId="5F0742A0" w:rsidR="009A7E81" w:rsidRPr="0043093E" w:rsidRDefault="009A7E81" w:rsidP="0043093E">
      <w:pPr>
        <w:pStyle w:val="JuPara"/>
        <w:rPr>
          <w:rFonts w:eastAsia="Times New Roman"/>
        </w:rPr>
      </w:pPr>
      <w:r>
        <w:rPr>
          <w:lang w:val="pl"/>
        </w:rPr>
        <w:fldChar w:fldCharType="begin"/>
      </w:r>
      <w:r>
        <w:rPr>
          <w:lang w:val="pl"/>
        </w:rPr>
        <w:instrText xml:space="preserve"> SEQ level0 \*arabic </w:instrText>
      </w:r>
      <w:r>
        <w:rPr>
          <w:lang w:val="pl"/>
        </w:rPr>
        <w:fldChar w:fldCharType="separate"/>
      </w:r>
      <w:r>
        <w:rPr>
          <w:noProof/>
          <w:lang w:val="pl"/>
        </w:rPr>
        <w:t>24</w:t>
      </w:r>
      <w:r>
        <w:rPr>
          <w:lang w:val="pl"/>
        </w:rPr>
        <w:fldChar w:fldCharType="end"/>
      </w:r>
      <w:r>
        <w:rPr>
          <w:lang w:val="pl"/>
        </w:rPr>
        <w:t>.  Jest to jednak tylko punkt wyjścia do analizy dla Trybunału, który musi wziąć pod uwagę także charakter sankcjonowanego przestępstwa oraz rodzaj i surowość nałożonej kary.</w:t>
      </w:r>
    </w:p>
    <w:p w14:paraId="6B9E4F5A" w14:textId="7E0743E9"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25</w:t>
      </w:r>
      <w:r>
        <w:rPr>
          <w:lang w:val="pl"/>
        </w:rPr>
        <w:fldChar w:fldCharType="end"/>
      </w:r>
      <w:r>
        <w:rPr>
          <w:lang w:val="pl"/>
        </w:rPr>
        <w:t xml:space="preserve">.  W odniesieniu do drugiego kryterium, a mianowicie oceny samego charakteru danego wykroczenia, Trybunał konsekwentnie brał pod uwagę zakres kręgu osób, do których adresowany jest dany przepis, rodzaj i charakter chronionych interesów oraz istnienie celu odstraszającego i represyjnego </w:t>
      </w:r>
      <w:r>
        <w:rPr>
          <w:i/>
          <w:iCs/>
          <w:lang w:val="pl"/>
        </w:rPr>
        <w:t xml:space="preserve">(zob. </w:t>
      </w:r>
      <w:proofErr w:type="spellStart"/>
      <w:r>
        <w:rPr>
          <w:i/>
          <w:iCs/>
          <w:lang w:val="pl"/>
        </w:rPr>
        <w:t>Kadubec</w:t>
      </w:r>
      <w:proofErr w:type="spellEnd"/>
      <w:r>
        <w:rPr>
          <w:i/>
          <w:iCs/>
          <w:lang w:val="pl"/>
        </w:rPr>
        <w:t xml:space="preserve"> przeciwko Słowacji</w:t>
      </w:r>
      <w:r>
        <w:rPr>
          <w:lang w:val="pl"/>
        </w:rPr>
        <w:t xml:space="preserve">, 2 września 1998 r., § 52, </w:t>
      </w:r>
      <w:r>
        <w:rPr>
          <w:i/>
          <w:iCs/>
          <w:lang w:val="pl"/>
        </w:rPr>
        <w:t>Zbiór wyroków i decyzji</w:t>
      </w:r>
      <w:r>
        <w:rPr>
          <w:lang w:val="pl"/>
        </w:rPr>
        <w:t xml:space="preserve"> 1998-VI, </w:t>
      </w:r>
      <w:proofErr w:type="spellStart"/>
      <w:r>
        <w:rPr>
          <w:i/>
          <w:iCs/>
          <w:lang w:val="pl"/>
        </w:rPr>
        <w:t>Lauko</w:t>
      </w:r>
      <w:proofErr w:type="spellEnd"/>
      <w:r>
        <w:rPr>
          <w:lang w:val="pl"/>
        </w:rPr>
        <w:t xml:space="preserve"> przeciwko Słowacji, 2 września 1998 r., § 58, </w:t>
      </w:r>
      <w:r>
        <w:rPr>
          <w:i/>
          <w:iCs/>
          <w:lang w:val="pl"/>
        </w:rPr>
        <w:t>Zbiór</w:t>
      </w:r>
      <w:r>
        <w:rPr>
          <w:lang w:val="pl"/>
        </w:rPr>
        <w:t xml:space="preserve"> 1998-VI, </w:t>
      </w:r>
      <w:proofErr w:type="spellStart"/>
      <w:r>
        <w:rPr>
          <w:i/>
          <w:iCs/>
          <w:lang w:val="pl"/>
        </w:rPr>
        <w:t>Ezeh</w:t>
      </w:r>
      <w:proofErr w:type="spellEnd"/>
      <w:r>
        <w:rPr>
          <w:i/>
          <w:iCs/>
          <w:lang w:val="pl"/>
        </w:rPr>
        <w:t xml:space="preserve"> i Connors</w:t>
      </w:r>
      <w:r>
        <w:rPr>
          <w:lang w:val="pl"/>
        </w:rPr>
        <w:t xml:space="preserve">, cyt. powyżej, §§ 103-105, </w:t>
      </w:r>
      <w:proofErr w:type="spellStart"/>
      <w:r>
        <w:rPr>
          <w:i/>
          <w:iCs/>
          <w:lang w:val="pl"/>
        </w:rPr>
        <w:t>Sergey</w:t>
      </w:r>
      <w:proofErr w:type="spellEnd"/>
      <w:r>
        <w:rPr>
          <w:i/>
          <w:iCs/>
          <w:lang w:val="pl"/>
        </w:rPr>
        <w:t xml:space="preserve"> </w:t>
      </w:r>
      <w:proofErr w:type="spellStart"/>
      <w:r>
        <w:rPr>
          <w:i/>
          <w:iCs/>
          <w:lang w:val="pl"/>
        </w:rPr>
        <w:t>Zolotukhin</w:t>
      </w:r>
      <w:proofErr w:type="spellEnd"/>
      <w:r>
        <w:rPr>
          <w:i/>
          <w:iCs/>
          <w:lang w:val="pl"/>
        </w:rPr>
        <w:t xml:space="preserve"> przeciwko Rosji</w:t>
      </w:r>
      <w:r>
        <w:rPr>
          <w:lang w:val="pl"/>
        </w:rPr>
        <w:t xml:space="preserve"> [Wielka Izba], nr 14939/03, § 55, ETPC 2009, oraz </w:t>
      </w:r>
      <w:proofErr w:type="spellStart"/>
      <w:r>
        <w:rPr>
          <w:lang w:val="pl"/>
        </w:rPr>
        <w:t>T</w:t>
      </w:r>
      <w:r>
        <w:rPr>
          <w:i/>
          <w:iCs/>
          <w:lang w:val="pl"/>
        </w:rPr>
        <w:t>sonyo</w:t>
      </w:r>
      <w:proofErr w:type="spellEnd"/>
      <w:r>
        <w:rPr>
          <w:i/>
          <w:iCs/>
          <w:lang w:val="pl"/>
        </w:rPr>
        <w:t xml:space="preserve"> </w:t>
      </w:r>
      <w:proofErr w:type="spellStart"/>
      <w:r>
        <w:rPr>
          <w:i/>
          <w:iCs/>
          <w:lang w:val="pl"/>
        </w:rPr>
        <w:t>Tsonev</w:t>
      </w:r>
      <w:proofErr w:type="spellEnd"/>
      <w:r>
        <w:rPr>
          <w:i/>
          <w:iCs/>
          <w:lang w:val="pl"/>
        </w:rPr>
        <w:t xml:space="preserve"> przeciwko Bułgarii [nr</w:t>
      </w:r>
      <w:r>
        <w:rPr>
          <w:lang w:val="pl"/>
        </w:rPr>
        <w:t xml:space="preserve"> 2], nr 2376/03, § 49, 14 stycznia 2010 r.).</w:t>
      </w:r>
    </w:p>
    <w:p w14:paraId="33572915" w14:textId="6345AD21"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26</w:t>
      </w:r>
      <w:r>
        <w:rPr>
          <w:lang w:val="pl"/>
        </w:rPr>
        <w:fldChar w:fldCharType="end"/>
      </w:r>
      <w:r>
        <w:rPr>
          <w:lang w:val="pl"/>
        </w:rPr>
        <w:t xml:space="preserve">.  Trybunał zauważa w tym względzie, że ustawa O zapobieganiu praniu brudnych pieniędzy i finansowaniu terroryzmu ma ogólny zakres, przy czym adresatami przepisu, który posłużył za podstawę prawną kary nałożonej na skarżącego, jest każda osoba, fizyczna lub prawna, przekraczająca granicę i prowadząca działalność opisaną w art. 2 § 1 ustawy nr 10/2010, w związku z przepływem kapitału </w:t>
      </w:r>
      <w:r>
        <w:rPr>
          <w:i/>
          <w:iCs/>
          <w:lang w:val="pl"/>
        </w:rPr>
        <w:t xml:space="preserve">(zob. </w:t>
      </w:r>
      <w:proofErr w:type="spellStart"/>
      <w:r>
        <w:rPr>
          <w:i/>
          <w:iCs/>
          <w:lang w:val="pl"/>
        </w:rPr>
        <w:t>Jussila</w:t>
      </w:r>
      <w:proofErr w:type="spellEnd"/>
      <w:r>
        <w:rPr>
          <w:i/>
          <w:iCs/>
          <w:lang w:val="pl"/>
        </w:rPr>
        <w:t xml:space="preserve"> przeciwko Finlandii</w:t>
      </w:r>
      <w:r>
        <w:rPr>
          <w:lang w:val="pl"/>
        </w:rPr>
        <w:t xml:space="preserve"> [Wielka Izba], nr 73053/01, § 38, ETPC 2006-XIV, </w:t>
      </w:r>
      <w:r>
        <w:rPr>
          <w:i/>
          <w:iCs/>
          <w:lang w:val="pl"/>
        </w:rPr>
        <w:t>a contrario</w:t>
      </w:r>
      <w:r>
        <w:rPr>
          <w:lang w:val="pl"/>
        </w:rPr>
        <w:t>,</w:t>
      </w:r>
      <w:r>
        <w:rPr>
          <w:i/>
          <w:iCs/>
          <w:lang w:val="pl"/>
        </w:rPr>
        <w:t xml:space="preserve"> </w:t>
      </w:r>
      <w:proofErr w:type="spellStart"/>
      <w:r>
        <w:rPr>
          <w:i/>
          <w:iCs/>
          <w:lang w:val="pl"/>
        </w:rPr>
        <w:t>Stanchev</w:t>
      </w:r>
      <w:proofErr w:type="spellEnd"/>
      <w:r>
        <w:rPr>
          <w:lang w:val="pl"/>
        </w:rPr>
        <w:t>, cytowany powyżej, § 45).</w:t>
      </w:r>
    </w:p>
    <w:p w14:paraId="31CFC7FF" w14:textId="7060B104"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27</w:t>
      </w:r>
      <w:r>
        <w:rPr>
          <w:lang w:val="pl"/>
        </w:rPr>
        <w:fldChar w:fldCharType="end"/>
      </w:r>
      <w:r>
        <w:rPr>
          <w:lang w:val="pl"/>
        </w:rPr>
        <w:t>.  Jeśli chodzi o dobro prawne chronione w niniejszej sprawie, to chociaż w dziedzinie wykroczeń celnych chodzi o interes rządów państw w kontrolowaniu międzynarodowych środków płatniczych (co podkreślił Sąd Najwyższy w Madrycie w szóstej podstawie prawnej swojego wyroku), Trybunał przypomina, że miał już okazję rozważać, że aspekt karny artykułu 6 Konwencji może być stosowany w dziedzinie naruszeń celnych</w:t>
      </w:r>
      <w:r>
        <w:rPr>
          <w:i/>
          <w:iCs/>
          <w:lang w:val="pl"/>
        </w:rPr>
        <w:t>(</w:t>
      </w:r>
      <w:proofErr w:type="spellStart"/>
      <w:r>
        <w:rPr>
          <w:i/>
          <w:iCs/>
          <w:lang w:val="pl"/>
        </w:rPr>
        <w:t>Salabiaku</w:t>
      </w:r>
      <w:proofErr w:type="spellEnd"/>
      <w:r>
        <w:rPr>
          <w:i/>
          <w:iCs/>
          <w:lang w:val="pl"/>
        </w:rPr>
        <w:t xml:space="preserve"> przeciwko Francji</w:t>
      </w:r>
      <w:r>
        <w:rPr>
          <w:lang w:val="pl"/>
        </w:rPr>
        <w:t xml:space="preserve">, 7 października 1988 r., Seria A nr 141-A). W istocie, nałożenie grzywny w tej sprawie nie spełniało celu ochrony ewentualnej utraty kapitału przez państwo (jak to miało miejsce między innymi w sprawie </w:t>
      </w:r>
      <w:r>
        <w:rPr>
          <w:i/>
          <w:iCs/>
          <w:lang w:val="pl"/>
        </w:rPr>
        <w:lastRenderedPageBreak/>
        <w:t>Butler przeciwko Zjednoczonemu Królestwu</w:t>
      </w:r>
      <w:r>
        <w:rPr>
          <w:lang w:val="pl"/>
        </w:rPr>
        <w:t xml:space="preserve"> (</w:t>
      </w:r>
      <w:proofErr w:type="spellStart"/>
      <w:r>
        <w:rPr>
          <w:lang w:val="pl"/>
        </w:rPr>
        <w:t>dec</w:t>
      </w:r>
      <w:proofErr w:type="spellEnd"/>
      <w:r>
        <w:rPr>
          <w:lang w:val="pl"/>
        </w:rPr>
        <w:t xml:space="preserve">.), nr 41661/98, ETPC 2002-VI), lecz z konieczności realizowało cel odstraszania i represji w odpowiedzi na niewypełnienie przez skarżącego prawnego obowiązku złożenia oświadczenia </w:t>
      </w:r>
      <w:r>
        <w:rPr>
          <w:i/>
          <w:iCs/>
          <w:lang w:val="pl"/>
        </w:rPr>
        <w:t>(</w:t>
      </w:r>
      <w:proofErr w:type="spellStart"/>
      <w:r>
        <w:rPr>
          <w:i/>
          <w:iCs/>
          <w:lang w:val="pl"/>
        </w:rPr>
        <w:t>Nadtotchi</w:t>
      </w:r>
      <w:proofErr w:type="spellEnd"/>
      <w:r>
        <w:rPr>
          <w:i/>
          <w:iCs/>
          <w:lang w:val="pl"/>
        </w:rPr>
        <w:t xml:space="preserve"> przeciwko Ukrainie</w:t>
      </w:r>
      <w:r>
        <w:rPr>
          <w:lang w:val="pl"/>
        </w:rPr>
        <w:t>, nr 7460/03, § 21, 15 maja 2008 r.). Już sama ta okoliczność mogłaby wystarczyć do nadania wykroczeniu charakteru karnego, który kwalifikowałby się do gwarancji z art. 6 Konwencji</w:t>
      </w:r>
      <w:r>
        <w:rPr>
          <w:i/>
          <w:iCs/>
          <w:lang w:val="pl"/>
        </w:rPr>
        <w:t xml:space="preserve">(zob. </w:t>
      </w:r>
      <w:proofErr w:type="spellStart"/>
      <w:r>
        <w:rPr>
          <w:i/>
          <w:iCs/>
          <w:lang w:val="pl"/>
        </w:rPr>
        <w:t>Jussila</w:t>
      </w:r>
      <w:proofErr w:type="spellEnd"/>
      <w:r>
        <w:rPr>
          <w:lang w:val="pl"/>
        </w:rPr>
        <w:t>, cyt. wyżej, § 38).</w:t>
      </w:r>
    </w:p>
    <w:p w14:paraId="0B38526A" w14:textId="4A3F53E7"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28</w:t>
      </w:r>
      <w:r>
        <w:rPr>
          <w:lang w:val="pl"/>
        </w:rPr>
        <w:fldChar w:fldCharType="end"/>
      </w:r>
      <w:r>
        <w:rPr>
          <w:lang w:val="pl"/>
        </w:rPr>
        <w:t>.  Trybunał zauważa w tym względzie, że niniejsza sprawa różni się pod kilkoma względami od poprzednich spraw, w których miał okazję orzekać o karnym charakterze kar nałożonych na skarżących:</w:t>
      </w:r>
    </w:p>
    <w:p w14:paraId="0ABE58A5" w14:textId="487307BB" w:rsidR="009A7E81" w:rsidRPr="0043093E" w:rsidRDefault="009A7E81" w:rsidP="0043093E">
      <w:pPr>
        <w:pStyle w:val="JuPara"/>
      </w:pPr>
      <w:r>
        <w:rPr>
          <w:lang w:val="pl"/>
        </w:rPr>
        <w:t xml:space="preserve">- w sprawie </w:t>
      </w:r>
      <w:r>
        <w:rPr>
          <w:i/>
          <w:iCs/>
          <w:lang w:val="pl"/>
        </w:rPr>
        <w:t>Butler</w:t>
      </w:r>
      <w:r>
        <w:rPr>
          <w:lang w:val="pl"/>
        </w:rPr>
        <w:t>,</w:t>
      </w:r>
      <w:r>
        <w:rPr>
          <w:i/>
          <w:iCs/>
          <w:lang w:val="pl"/>
        </w:rPr>
        <w:t xml:space="preserve"> </w:t>
      </w:r>
      <w:r>
        <w:rPr>
          <w:lang w:val="pl"/>
        </w:rPr>
        <w:t xml:space="preserve">decyzja cytowana powyżej, dotycząca przestępstwa przemytu popełnionego przez skarżącego, Trybunał uznał skargę za niedopuszczalną na podstawie artykułu 1 Protokołu nr 1, po zauważeniu, że skarżący był już karany (patrz, </w:t>
      </w:r>
      <w:r>
        <w:rPr>
          <w:i/>
          <w:iCs/>
          <w:lang w:val="pl"/>
        </w:rPr>
        <w:t>a</w:t>
      </w:r>
      <w:r>
        <w:rPr>
          <w:lang w:val="pl"/>
        </w:rPr>
        <w:t xml:space="preserve"> </w:t>
      </w:r>
      <w:r>
        <w:rPr>
          <w:i/>
          <w:iCs/>
          <w:lang w:val="pl"/>
        </w:rPr>
        <w:t xml:space="preserve">contrario </w:t>
      </w:r>
      <w:r>
        <w:rPr>
          <w:lang w:val="pl"/>
        </w:rPr>
        <w:t>, paragraf 41 poniżej), że władze posiadały uzasadnione przesłanki, że skarżący był zaangażowany w działalność przemytniczą (patrz, ponownie, paragraf 6 powyżej, w odniesieniu do pochodzenia kwot będących w posiadaniu skarżącego w niniejszej sprawie podczas kontroli bezpieczeństwa na lotnisku), i że, wreszcie, władze krajowe przeprowadziły analizę proporcjonalności i  okoliczności związanych ze skarżącym, których to kroków brakowało w niniejszej sprawie;</w:t>
      </w:r>
    </w:p>
    <w:p w14:paraId="435B64E5" w14:textId="733727EA" w:rsidR="009A7E81" w:rsidRPr="0043093E" w:rsidRDefault="009A7E81" w:rsidP="0043093E">
      <w:pPr>
        <w:pStyle w:val="JuPara"/>
      </w:pPr>
      <w:r>
        <w:rPr>
          <w:lang w:val="pl"/>
        </w:rPr>
        <w:t xml:space="preserve">- w sprawie </w:t>
      </w:r>
      <w:proofErr w:type="spellStart"/>
      <w:r>
        <w:rPr>
          <w:i/>
          <w:iCs/>
          <w:lang w:val="pl"/>
        </w:rPr>
        <w:t>Inocêncio</w:t>
      </w:r>
      <w:proofErr w:type="spellEnd"/>
      <w:r>
        <w:rPr>
          <w:i/>
          <w:iCs/>
          <w:lang w:val="pl"/>
        </w:rPr>
        <w:t xml:space="preserve"> przeciwko Portugalii</w:t>
      </w:r>
      <w:r>
        <w:rPr>
          <w:lang w:val="pl"/>
        </w:rPr>
        <w:t xml:space="preserve"> ((</w:t>
      </w:r>
      <w:proofErr w:type="spellStart"/>
      <w:r>
        <w:rPr>
          <w:lang w:val="pl"/>
        </w:rPr>
        <w:t>dec</w:t>
      </w:r>
      <w:proofErr w:type="spellEnd"/>
      <w:r>
        <w:rPr>
          <w:lang w:val="pl"/>
        </w:rPr>
        <w:t>.), nr 43862/98, ETPC 2001-I), Trybunał orzekł o karnym charakterze kary w wysokości 2.500 euro nałożonej na skarżącego za wykonanie prac w jego domu bez wymaganego zezwolenia. Stwierdził, że art. 6 Konwencji nie miał zastosowania w jego aspekcie karnym. Pomijając fakt, że przedmiotowa kwestia nie była związana z kontekstem celnym, sporna sankcja była znacznie niższa niż w niniejszej sprawie.</w:t>
      </w:r>
    </w:p>
    <w:p w14:paraId="243A6C73" w14:textId="000FD318"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29</w:t>
      </w:r>
      <w:r>
        <w:rPr>
          <w:lang w:val="pl"/>
        </w:rPr>
        <w:fldChar w:fldCharType="end"/>
      </w:r>
      <w:r>
        <w:rPr>
          <w:lang w:val="pl"/>
        </w:rPr>
        <w:t xml:space="preserve">.  W odniesieniu do trzeciego z </w:t>
      </w:r>
      <w:r>
        <w:rPr>
          <w:i/>
          <w:iCs/>
          <w:lang w:val="pl"/>
        </w:rPr>
        <w:t>"</w:t>
      </w:r>
      <w:r>
        <w:rPr>
          <w:lang w:val="pl"/>
        </w:rPr>
        <w:t xml:space="preserve"> kryteriów </w:t>
      </w:r>
      <w:proofErr w:type="spellStart"/>
      <w:r>
        <w:rPr>
          <w:i/>
          <w:iCs/>
          <w:lang w:val="pl"/>
        </w:rPr>
        <w:t>Engla</w:t>
      </w:r>
      <w:proofErr w:type="spellEnd"/>
      <w:r>
        <w:rPr>
          <w:lang w:val="pl"/>
        </w:rPr>
        <w:t xml:space="preserve"> ", a mianowicie surowości nałożonej sankcji, Trybunał zauważył, że ustawa nr 10/2010 O zapobieganiu praniu brudnych pieniędzy i finansowaniu terroryzmu przewiduje różne rodzaje sankcji w zależności od wagi wykroczenia. I tak w art. 56 wspomniana ustawa reguluje kary za najbardziej naganne wykroczenia, kwalifikowane jako "bardzo poważne". W tym zakresie maksymalną karą jest zapłata grzywny lub, w stosownych przypadkach, pozbawienie prawa do sprawowania funkcji publicznych. Nieuiszczenie grzywny nie może zatem prowadzić do przekształcenia nałożonej kary w pozbawienie wolności (pkt 11 powyżej). W tej sprawie skarżący został oskarżony o "poważne" naruszenie, za które prawo przewiduje grzywnę w wysokości od 600 euro do dwukrotnej wartości użytego środka płatniczego. Grzywna nałożona na skarżącą wyniosła 153 800 EUR, co odpowiadało prawie całej kwocie odkrytej podczas interwencji służb celnych. W konsekwencji Trybunał uznaje, że surowość nałożonej kary była na tyle duża, </w:t>
      </w:r>
      <w:r>
        <w:rPr>
          <w:lang w:val="pl"/>
        </w:rPr>
        <w:lastRenderedPageBreak/>
        <w:t>że nadała postępowaniu w niniejszej sprawie charakter karnoprawny wymagany do zastosowania art. 2 Protokołu nr 7 do Konwencji.</w:t>
      </w:r>
    </w:p>
    <w:p w14:paraId="705F47A6" w14:textId="47BB073F" w:rsidR="009A7E81" w:rsidRPr="0043093E" w:rsidRDefault="009A7E81" w:rsidP="0043093E">
      <w:pPr>
        <w:pStyle w:val="JuPara"/>
        <w:rPr>
          <w:rFonts w:eastAsia="Times New Roman"/>
        </w:rPr>
      </w:pPr>
      <w:r>
        <w:rPr>
          <w:lang w:val="pl"/>
        </w:rPr>
        <w:fldChar w:fldCharType="begin"/>
      </w:r>
      <w:r>
        <w:rPr>
          <w:lang w:val="pl"/>
        </w:rPr>
        <w:instrText xml:space="preserve"> SEQ level0 \*arabic </w:instrText>
      </w:r>
      <w:r>
        <w:rPr>
          <w:lang w:val="pl"/>
        </w:rPr>
        <w:fldChar w:fldCharType="separate"/>
      </w:r>
      <w:r>
        <w:rPr>
          <w:noProof/>
          <w:lang w:val="pl"/>
        </w:rPr>
        <w:t>30</w:t>
      </w:r>
      <w:r>
        <w:rPr>
          <w:lang w:val="pl"/>
        </w:rPr>
        <w:fldChar w:fldCharType="end"/>
      </w:r>
      <w:r>
        <w:rPr>
          <w:lang w:val="pl"/>
        </w:rPr>
        <w:t xml:space="preserve">.  Biorąc pod uwagę różne aspekty sprawy, należy uznać, że przedmiotowe naruszenie ma charakter karnoprawny (zob. </w:t>
      </w:r>
      <w:r>
        <w:rPr>
          <w:i/>
          <w:iCs/>
          <w:lang w:val="pl"/>
        </w:rPr>
        <w:t>mutatis mutandis</w:t>
      </w:r>
      <w:r>
        <w:rPr>
          <w:lang w:val="pl"/>
        </w:rPr>
        <w:t xml:space="preserve">, </w:t>
      </w:r>
      <w:proofErr w:type="spellStart"/>
      <w:r>
        <w:rPr>
          <w:i/>
          <w:iCs/>
          <w:lang w:val="pl"/>
        </w:rPr>
        <w:t>Valico</w:t>
      </w:r>
      <w:proofErr w:type="spellEnd"/>
      <w:r>
        <w:rPr>
          <w:i/>
          <w:iCs/>
          <w:lang w:val="pl"/>
        </w:rPr>
        <w:t xml:space="preserve"> </w:t>
      </w:r>
      <w:proofErr w:type="spellStart"/>
      <w:r>
        <w:rPr>
          <w:i/>
          <w:iCs/>
          <w:lang w:val="pl"/>
        </w:rPr>
        <w:t>S.r.l</w:t>
      </w:r>
      <w:proofErr w:type="spellEnd"/>
      <w:r>
        <w:rPr>
          <w:i/>
          <w:iCs/>
          <w:lang w:val="pl"/>
        </w:rPr>
        <w:t xml:space="preserve">. przeciwko Włochom </w:t>
      </w:r>
      <w:r>
        <w:rPr>
          <w:lang w:val="pl"/>
        </w:rPr>
        <w:t>(</w:t>
      </w:r>
      <w:proofErr w:type="spellStart"/>
      <w:r>
        <w:rPr>
          <w:lang w:val="pl"/>
        </w:rPr>
        <w:t>dec</w:t>
      </w:r>
      <w:proofErr w:type="spellEnd"/>
      <w:r>
        <w:rPr>
          <w:lang w:val="pl"/>
        </w:rPr>
        <w:t>.), nr 70074/01, ETPC 2006-III).</w:t>
      </w:r>
    </w:p>
    <w:p w14:paraId="124C9D46" w14:textId="232C3DA7" w:rsidR="009A7E81" w:rsidRPr="0043093E" w:rsidRDefault="009A7E81" w:rsidP="0043093E">
      <w:pPr>
        <w:pStyle w:val="JuPara"/>
        <w:rPr>
          <w:rFonts w:eastAsia="Times New Roman"/>
        </w:rPr>
      </w:pPr>
      <w:r>
        <w:rPr>
          <w:rFonts w:eastAsia="Times New Roman"/>
          <w:lang w:val="pl"/>
        </w:rPr>
        <w:fldChar w:fldCharType="begin"/>
      </w:r>
      <w:r>
        <w:rPr>
          <w:rFonts w:eastAsia="Times New Roman"/>
          <w:lang w:val="pl"/>
        </w:rPr>
        <w:instrText xml:space="preserve"> SEQ level0 \*arabic </w:instrText>
      </w:r>
      <w:r>
        <w:rPr>
          <w:rFonts w:eastAsia="Times New Roman"/>
          <w:lang w:val="pl"/>
        </w:rPr>
        <w:fldChar w:fldCharType="separate"/>
      </w:r>
      <w:r>
        <w:rPr>
          <w:rFonts w:eastAsia="Times New Roman"/>
          <w:noProof/>
          <w:lang w:val="pl"/>
        </w:rPr>
        <w:t>31</w:t>
      </w:r>
      <w:r>
        <w:rPr>
          <w:rFonts w:eastAsia="Times New Roman"/>
          <w:lang w:val="pl"/>
        </w:rPr>
        <w:fldChar w:fldCharType="end"/>
      </w:r>
      <w:r>
        <w:rPr>
          <w:rFonts w:eastAsia="Times New Roman"/>
          <w:lang w:val="pl"/>
        </w:rPr>
        <w:t>.  W związku z tym Trybunał stwierdza, że art. 2 Protokołu nr 7 ma zastosowanie w niniejszej sprawie.</w:t>
      </w:r>
    </w:p>
    <w:p w14:paraId="203A448C" w14:textId="6D61D7A7" w:rsidR="009A7E81" w:rsidRPr="0043093E" w:rsidRDefault="009A7E81" w:rsidP="0043093E">
      <w:pPr>
        <w:pStyle w:val="JuH1"/>
      </w:pPr>
      <w:r>
        <w:rPr>
          <w:bCs w:val="0"/>
          <w:lang w:val="pl"/>
        </w:rPr>
        <w:t>W sprawie możliwości zastosowania w niniejszej sprawie wyjątków przewidzianych w art. 2 § 2 Protokołu nr 7</w:t>
      </w:r>
    </w:p>
    <w:p w14:paraId="76647896" w14:textId="1E3949C4"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32</w:t>
      </w:r>
      <w:r>
        <w:rPr>
          <w:lang w:val="pl"/>
        </w:rPr>
        <w:fldChar w:fldCharType="end"/>
      </w:r>
      <w:r>
        <w:rPr>
          <w:lang w:val="pl"/>
        </w:rPr>
        <w:t>.  Po ustaleniu karnego charakteru kary wymierzonej skarżącemu, należy teraz sprawdzić, czy na podstawie art. 2 Protokołu nr 7 skarżący był uprawniony do poddania swojego wyroku skazującego kontroli drugiej instancji.</w:t>
      </w:r>
    </w:p>
    <w:p w14:paraId="07730882" w14:textId="51980910"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33</w:t>
      </w:r>
      <w:r>
        <w:rPr>
          <w:lang w:val="pl"/>
        </w:rPr>
        <w:fldChar w:fldCharType="end"/>
      </w:r>
      <w:r>
        <w:rPr>
          <w:lang w:val="pl"/>
        </w:rPr>
        <w:t>.  W związku z tym Rząd powołał się na wyjątek związany z niewielką wagą naruszenia, wyjątek, który został również przewidziany w § 2 art. 2 Protokołu nr 7, motywowany tym, że poniesiona kara nie mogła w żadnym wypadku pociągać za sobą pozbawienia wolności.</w:t>
      </w:r>
    </w:p>
    <w:p w14:paraId="631A19FF" w14:textId="61AF2C9A" w:rsidR="009A7E81" w:rsidRPr="0043093E" w:rsidRDefault="009A7E81" w:rsidP="0043093E">
      <w:pPr>
        <w:pStyle w:val="JuPara"/>
        <w:rPr>
          <w:rFonts w:eastAsia="Times New Roman"/>
        </w:rPr>
      </w:pPr>
      <w:r>
        <w:rPr>
          <w:rFonts w:eastAsia="Times New Roman"/>
          <w:lang w:val="pl"/>
        </w:rPr>
        <w:fldChar w:fldCharType="begin"/>
      </w:r>
      <w:r>
        <w:rPr>
          <w:rFonts w:eastAsia="Times New Roman"/>
          <w:lang w:val="pl"/>
        </w:rPr>
        <w:instrText xml:space="preserve"> SEQ level0 \*arabic </w:instrText>
      </w:r>
      <w:r>
        <w:rPr>
          <w:rFonts w:eastAsia="Times New Roman"/>
          <w:lang w:val="pl"/>
        </w:rPr>
        <w:fldChar w:fldCharType="separate"/>
      </w:r>
      <w:r>
        <w:rPr>
          <w:rFonts w:eastAsia="Times New Roman"/>
          <w:noProof/>
          <w:lang w:val="pl"/>
        </w:rPr>
        <w:t>34</w:t>
      </w:r>
      <w:r>
        <w:rPr>
          <w:rFonts w:eastAsia="Times New Roman"/>
          <w:lang w:val="pl"/>
        </w:rPr>
        <w:fldChar w:fldCharType="end"/>
      </w:r>
      <w:r>
        <w:rPr>
          <w:rFonts w:eastAsia="Times New Roman"/>
          <w:lang w:val="pl"/>
        </w:rPr>
        <w:t>.  Rząd powołał się ponadto na wyjątek dotyczący interwencji najwyższych sądów krajowych, przewidziany również w § 2 art. 2 Protokołu nr 7. W tym względzie przypomina, że hiszpańska Konstytucja przyznaje sądom najwyższym rangę najwyższej instancji w dziedzinie sporów administracyjnych na terytorium wspólnoty autonomicznej, precyzując jednocześnie, że sąd najwyższy jedynie wyjątkowo jest właściwy do rozpoznawania skarg kasacyjnych. Rząd uznał zatem, że kasacja ma charakter jedynie wyjątkowy i nie może być traktowana jako szczebel jurysdykcji, który należy brać pod uwagę dla celów tego zapisu z Protokołu.</w:t>
      </w:r>
    </w:p>
    <w:p w14:paraId="7B64435E" w14:textId="7000D21C" w:rsidR="009A7E81" w:rsidRPr="0043093E" w:rsidRDefault="009A7E81" w:rsidP="0043093E">
      <w:pPr>
        <w:pStyle w:val="JuPara"/>
        <w:rPr>
          <w:rFonts w:eastAsia="Times New Roman"/>
        </w:rPr>
      </w:pPr>
      <w:r>
        <w:rPr>
          <w:rFonts w:eastAsia="Times New Roman"/>
          <w:lang w:val="pl"/>
        </w:rPr>
        <w:fldChar w:fldCharType="begin"/>
      </w:r>
      <w:r>
        <w:rPr>
          <w:rFonts w:eastAsia="Times New Roman"/>
          <w:lang w:val="pl"/>
        </w:rPr>
        <w:instrText xml:space="preserve"> SEQ level0 \*arabic </w:instrText>
      </w:r>
      <w:r>
        <w:rPr>
          <w:rFonts w:eastAsia="Times New Roman"/>
          <w:lang w:val="pl"/>
        </w:rPr>
        <w:fldChar w:fldCharType="separate"/>
      </w:r>
      <w:r>
        <w:rPr>
          <w:rFonts w:eastAsia="Times New Roman"/>
          <w:noProof/>
          <w:lang w:val="pl"/>
        </w:rPr>
        <w:t>35</w:t>
      </w:r>
      <w:r>
        <w:rPr>
          <w:rFonts w:eastAsia="Times New Roman"/>
          <w:lang w:val="pl"/>
        </w:rPr>
        <w:fldChar w:fldCharType="end"/>
      </w:r>
      <w:r>
        <w:rPr>
          <w:rFonts w:eastAsia="Times New Roman"/>
          <w:lang w:val="pl"/>
        </w:rPr>
        <w:t xml:space="preserve">.  Ze swej strony skarżący zarzuca nieproporcjonalność kary, ponieważ zajęta kwota odpowiada prawie całemu jego majątkowi. Powtarza też, że korzystał tylko z jednej instancji sądowej. </w:t>
      </w:r>
    </w:p>
    <w:p w14:paraId="50797764" w14:textId="1A18EB7B" w:rsidR="009A7E81" w:rsidRPr="0043093E" w:rsidRDefault="009A7E81" w:rsidP="0043093E">
      <w:pPr>
        <w:pStyle w:val="JuPara"/>
        <w:rPr>
          <w:snapToGrid w:val="0"/>
        </w:rPr>
      </w:pPr>
      <w:r>
        <w:rPr>
          <w:lang w:val="pl"/>
        </w:rPr>
        <w:fldChar w:fldCharType="begin"/>
      </w:r>
      <w:r>
        <w:rPr>
          <w:rFonts w:ascii="Times New Roman" w:hAnsi="Times New Roman"/>
          <w:lang w:val="pl"/>
        </w:rPr>
        <w:instrText xml:space="preserve"> SEQ level0 \*arabic </w:instrText>
      </w:r>
      <w:r>
        <w:rPr>
          <w:lang w:val="pl"/>
        </w:rPr>
        <w:fldChar w:fldCharType="separate"/>
      </w:r>
      <w:r>
        <w:rPr>
          <w:rFonts w:ascii="Times New Roman" w:hAnsi="Times New Roman"/>
          <w:noProof/>
          <w:lang w:val="pl"/>
        </w:rPr>
        <w:t>36</w:t>
      </w:r>
      <w:r>
        <w:rPr>
          <w:lang w:val="pl"/>
        </w:rPr>
        <w:fldChar w:fldCharType="end"/>
      </w:r>
      <w:r>
        <w:rPr>
          <w:rFonts w:ascii="Times New Roman" w:hAnsi="Times New Roman"/>
          <w:lang w:val="pl"/>
        </w:rPr>
        <w:t xml:space="preserve">.  Trybunał będzie musiał ustalić, po pierwsze, czy naruszenie, za które skarżący został skazany, nie stanowi "drobnego naruszenia" w rozumieniu art. 2 § 2 Protokołu nr 7 i czy w związku z tym w niniejszej sprawie istniała potrzeba odwołania się do drugiej instancji. Trybunał musi zatem rozważyć warunki raportu wyjaśniającego do Protokołu nr 7, który wyraźnie stwierdza, że przy podejmowaniu decyzji, czy naruszenie ma charakter mniejszej wagi, ważnym kryterium jest to, czy naruszenie jest zagrożone karą pozbawienia wolności </w:t>
      </w:r>
      <w:r>
        <w:rPr>
          <w:rFonts w:ascii="Times New Roman" w:hAnsi="Times New Roman"/>
          <w:i/>
          <w:iCs/>
          <w:lang w:val="pl"/>
        </w:rPr>
        <w:t xml:space="preserve">(zob. </w:t>
      </w:r>
      <w:proofErr w:type="spellStart"/>
      <w:r>
        <w:rPr>
          <w:rFonts w:ascii="Times New Roman" w:hAnsi="Times New Roman"/>
          <w:i/>
          <w:iCs/>
          <w:lang w:val="pl"/>
        </w:rPr>
        <w:t>Zaicevs</w:t>
      </w:r>
      <w:proofErr w:type="spellEnd"/>
      <w:r>
        <w:rPr>
          <w:rFonts w:ascii="Times New Roman" w:hAnsi="Times New Roman"/>
          <w:lang w:val="pl"/>
        </w:rPr>
        <w:t xml:space="preserve">, cytowany powyżej, § 55, </w:t>
      </w:r>
      <w:r>
        <w:rPr>
          <w:rFonts w:ascii="Times New Roman" w:hAnsi="Times New Roman"/>
          <w:i/>
          <w:iCs/>
          <w:lang w:val="pl"/>
        </w:rPr>
        <w:t>Grecu przeciwko Rumunii</w:t>
      </w:r>
      <w:r>
        <w:rPr>
          <w:rFonts w:ascii="Times New Roman" w:hAnsi="Times New Roman"/>
          <w:lang w:val="pl"/>
        </w:rPr>
        <w:t xml:space="preserve">, nr 75101/01, § 82, 30 listopada 2006 r., oraz </w:t>
      </w:r>
      <w:proofErr w:type="spellStart"/>
      <w:r>
        <w:rPr>
          <w:rFonts w:ascii="Times New Roman" w:hAnsi="Times New Roman"/>
          <w:i/>
          <w:iCs/>
          <w:lang w:val="pl"/>
        </w:rPr>
        <w:t>Stanchev</w:t>
      </w:r>
      <w:proofErr w:type="spellEnd"/>
      <w:r>
        <w:rPr>
          <w:rFonts w:ascii="Times New Roman" w:hAnsi="Times New Roman"/>
          <w:lang w:val="pl"/>
        </w:rPr>
        <w:t xml:space="preserve">, cytowany powyżej, § 47). W niniejszej sprawie bezsporne jest, że kara wymierzona skarżącemu nie mogła być zastąpiona, w przypadku braku zapłaty, karą pozbawienia wolności. Brak kary pozbawienia wolności nie jest jednak czynnikiem decydującym ani jedynym kryterium, które należy brać pod uwagę. Rzeczywiście, Trybunał wskazał już, że względna słabość naruszenia nie </w:t>
      </w:r>
      <w:r>
        <w:rPr>
          <w:rFonts w:ascii="Times New Roman" w:hAnsi="Times New Roman"/>
          <w:lang w:val="pl"/>
        </w:rPr>
        <w:lastRenderedPageBreak/>
        <w:t xml:space="preserve">może pozbawić go samoistnego charakteru karnego </w:t>
      </w:r>
      <w:r>
        <w:rPr>
          <w:rFonts w:ascii="Times New Roman" w:hAnsi="Times New Roman"/>
          <w:i/>
          <w:iCs/>
          <w:lang w:val="pl"/>
        </w:rPr>
        <w:t>(</w:t>
      </w:r>
      <w:proofErr w:type="spellStart"/>
      <w:r>
        <w:rPr>
          <w:rFonts w:ascii="Times New Roman" w:hAnsi="Times New Roman"/>
          <w:i/>
          <w:iCs/>
          <w:lang w:val="pl"/>
        </w:rPr>
        <w:t>Nicoleta</w:t>
      </w:r>
      <w:proofErr w:type="spellEnd"/>
      <w:r>
        <w:rPr>
          <w:rFonts w:ascii="Times New Roman" w:hAnsi="Times New Roman"/>
          <w:i/>
          <w:iCs/>
          <w:lang w:val="pl"/>
        </w:rPr>
        <w:t xml:space="preserve"> </w:t>
      </w:r>
      <w:proofErr w:type="spellStart"/>
      <w:r>
        <w:rPr>
          <w:rFonts w:ascii="Times New Roman" w:hAnsi="Times New Roman"/>
          <w:i/>
          <w:iCs/>
          <w:lang w:val="pl"/>
        </w:rPr>
        <w:t>Gheorghe</w:t>
      </w:r>
      <w:proofErr w:type="spellEnd"/>
      <w:r>
        <w:rPr>
          <w:rFonts w:ascii="Times New Roman" w:hAnsi="Times New Roman"/>
          <w:i/>
          <w:iCs/>
          <w:lang w:val="pl"/>
        </w:rPr>
        <w:t xml:space="preserve"> przeciwko Rumunii</w:t>
      </w:r>
      <w:r>
        <w:rPr>
          <w:rFonts w:ascii="Times New Roman" w:hAnsi="Times New Roman"/>
          <w:lang w:val="pl"/>
        </w:rPr>
        <w:t>, nr 23470/05, § 26, 3 kwietnia 2012 r.).</w:t>
      </w:r>
    </w:p>
    <w:p w14:paraId="5EE6161C" w14:textId="5B45D6F4" w:rsidR="009A7E81" w:rsidRPr="0043093E" w:rsidRDefault="009A7E81" w:rsidP="0043093E">
      <w:pPr>
        <w:pStyle w:val="JuPara"/>
        <w:rPr>
          <w:rFonts w:ascii="Times New Roman" w:eastAsia="Times New Roman" w:hAnsi="Times New Roman" w:cs="Times New Roman"/>
        </w:rPr>
      </w:pPr>
      <w:r>
        <w:rPr>
          <w:rFonts w:ascii="Times New Roman" w:eastAsia="Times New Roman" w:hAnsi="Times New Roman" w:cs="Times New Roman"/>
          <w:lang w:val="pl"/>
        </w:rPr>
        <w:fldChar w:fldCharType="begin"/>
      </w:r>
      <w:r>
        <w:rPr>
          <w:rFonts w:ascii="Times New Roman" w:eastAsia="Times New Roman" w:hAnsi="Times New Roman" w:cs="Times New Roman"/>
          <w:lang w:val="pl"/>
        </w:rPr>
        <w:instrText xml:space="preserve"> SEQ level0 \*arabic </w:instrText>
      </w:r>
      <w:r>
        <w:rPr>
          <w:rFonts w:ascii="Times New Roman" w:eastAsia="Times New Roman" w:hAnsi="Times New Roman" w:cs="Times New Roman"/>
          <w:lang w:val="pl"/>
        </w:rPr>
        <w:fldChar w:fldCharType="separate"/>
      </w:r>
      <w:r>
        <w:rPr>
          <w:rFonts w:ascii="Times New Roman" w:eastAsia="Times New Roman" w:hAnsi="Times New Roman" w:cs="Times New Roman"/>
          <w:noProof/>
          <w:lang w:val="pl"/>
        </w:rPr>
        <w:t>37</w:t>
      </w:r>
      <w:r>
        <w:rPr>
          <w:rFonts w:ascii="Times New Roman" w:eastAsia="Times New Roman" w:hAnsi="Times New Roman" w:cs="Times New Roman"/>
          <w:lang w:val="pl"/>
        </w:rPr>
        <w:fldChar w:fldCharType="end"/>
      </w:r>
      <w:r>
        <w:rPr>
          <w:rFonts w:ascii="Times New Roman" w:eastAsia="Times New Roman" w:hAnsi="Times New Roman" w:cs="Times New Roman"/>
          <w:lang w:val="pl"/>
        </w:rPr>
        <w:t>.  Trybunał ma świadomość, że w ustawodawstwie państw istnieje duże zróżnicowanie w zakresie sankcji celnych za niezadeklarowanie kwoty pieniężne. Poszanowanie zasady pomocniczości i marginesu oceny, z których korzystają państwa w tej dziedzinie (zob. m.in.</w:t>
      </w:r>
      <w:r>
        <w:rPr>
          <w:rFonts w:ascii="Times New Roman" w:eastAsia="Times New Roman" w:hAnsi="Times New Roman" w:cs="Times New Roman"/>
          <w:i/>
          <w:iCs/>
          <w:lang w:val="pl"/>
        </w:rPr>
        <w:t xml:space="preserve"> </w:t>
      </w:r>
      <w:proofErr w:type="spellStart"/>
      <w:r>
        <w:rPr>
          <w:rFonts w:ascii="Times New Roman" w:eastAsia="Times New Roman" w:hAnsi="Times New Roman" w:cs="Times New Roman"/>
          <w:i/>
          <w:iCs/>
          <w:lang w:val="pl"/>
        </w:rPr>
        <w:t>Natsvlishvili</w:t>
      </w:r>
      <w:proofErr w:type="spellEnd"/>
      <w:r>
        <w:rPr>
          <w:rFonts w:ascii="Times New Roman" w:eastAsia="Times New Roman" w:hAnsi="Times New Roman" w:cs="Times New Roman"/>
          <w:i/>
          <w:iCs/>
          <w:lang w:val="pl"/>
        </w:rPr>
        <w:t xml:space="preserve"> i </w:t>
      </w:r>
      <w:proofErr w:type="spellStart"/>
      <w:r>
        <w:rPr>
          <w:rFonts w:ascii="Times New Roman" w:eastAsia="Times New Roman" w:hAnsi="Times New Roman" w:cs="Times New Roman"/>
          <w:i/>
          <w:iCs/>
          <w:lang w:val="pl"/>
        </w:rPr>
        <w:t>Togonidze</w:t>
      </w:r>
      <w:proofErr w:type="spellEnd"/>
      <w:r>
        <w:rPr>
          <w:rFonts w:ascii="Times New Roman" w:eastAsia="Times New Roman" w:hAnsi="Times New Roman" w:cs="Times New Roman"/>
          <w:lang w:val="pl"/>
        </w:rPr>
        <w:t xml:space="preserve"> </w:t>
      </w:r>
      <w:r>
        <w:rPr>
          <w:rFonts w:ascii="Times New Roman" w:eastAsia="Times New Roman" w:hAnsi="Times New Roman" w:cs="Times New Roman"/>
          <w:i/>
          <w:iCs/>
          <w:lang w:val="pl"/>
        </w:rPr>
        <w:t>przeciwko</w:t>
      </w:r>
      <w:r>
        <w:rPr>
          <w:rFonts w:ascii="Times New Roman" w:eastAsia="Times New Roman" w:hAnsi="Times New Roman" w:cs="Times New Roman"/>
          <w:lang w:val="pl"/>
        </w:rPr>
        <w:t xml:space="preserve"> </w:t>
      </w:r>
      <w:r>
        <w:rPr>
          <w:rFonts w:ascii="Times New Roman" w:eastAsia="Times New Roman" w:hAnsi="Times New Roman" w:cs="Times New Roman"/>
          <w:i/>
          <w:iCs/>
          <w:lang w:val="pl"/>
        </w:rPr>
        <w:t>Gruzji</w:t>
      </w:r>
      <w:r>
        <w:rPr>
          <w:rFonts w:ascii="Times New Roman" w:eastAsia="Times New Roman" w:hAnsi="Times New Roman" w:cs="Times New Roman"/>
          <w:lang w:val="pl"/>
        </w:rPr>
        <w:t>, nr 9043/05, § 96 ETPC 2014 (fragmenty)) prowadzi Trybunał do uznania, że o znaczeniu i wadze, jakie należy nadać każdemu elementowi, należy decydować, biorąc pod uwagę okoliczności każdej indywidualnej sprawy. Podczas gdy konieczne będzie, aby dany środek osiągnął pewien próg dotkliwości, do władz krajowych będzie należało zbadanie jego proporcjonalności i szczególnie poważnych konsekwencji względem osobistej sytuacji skarżącego. Istnienie kary pozbawienia wolności stanie się więc istotnym czynnikiem, który Sąd będzie musiał wziąć pod uwagę przy rozstrzyganiu o lekkim charakterze naruszenia, ale sam w sobie nie będzie miał decydującego znaczenia.</w:t>
      </w:r>
    </w:p>
    <w:p w14:paraId="3BEB27C2" w14:textId="04703735" w:rsidR="009A7E81" w:rsidRPr="0043093E" w:rsidRDefault="009A7E81" w:rsidP="0043093E">
      <w:pPr>
        <w:pStyle w:val="JuPara"/>
        <w:rPr>
          <w:rFonts w:ascii="Times New Roman" w:eastAsia="Times New Roman" w:hAnsi="Times New Roman" w:cs="Times New Roman"/>
        </w:rPr>
      </w:pPr>
      <w:r>
        <w:rPr>
          <w:lang w:val="pl"/>
        </w:rPr>
        <w:fldChar w:fldCharType="begin"/>
      </w:r>
      <w:r>
        <w:rPr>
          <w:rFonts w:ascii="Times New Roman" w:hAnsi="Times New Roman"/>
          <w:lang w:val="pl"/>
        </w:rPr>
        <w:instrText xml:space="preserve"> SEQ level0 \*arabic </w:instrText>
      </w:r>
      <w:r>
        <w:rPr>
          <w:lang w:val="pl"/>
        </w:rPr>
        <w:fldChar w:fldCharType="separate"/>
      </w:r>
      <w:r>
        <w:rPr>
          <w:rFonts w:ascii="Times New Roman" w:hAnsi="Times New Roman"/>
          <w:noProof/>
          <w:lang w:val="pl"/>
        </w:rPr>
        <w:t>38</w:t>
      </w:r>
      <w:r>
        <w:rPr>
          <w:lang w:val="pl"/>
        </w:rPr>
        <w:fldChar w:fldCharType="end"/>
      </w:r>
      <w:r>
        <w:rPr>
          <w:rFonts w:ascii="Times New Roman" w:hAnsi="Times New Roman"/>
          <w:lang w:val="pl"/>
        </w:rPr>
        <w:t>.  Wreszcie, taka interpretacja drugiego paragrafu 2 artykułu z Protokołu nr 7 i jego sprawozdania wyjaśniającego jest zgodna z ogólnymi zasadami interpretacji traktatów przewidzianymi w artykułach 31 § 4 i 32 Konwencji wiedeńskiej o prawie traktatów (§ 17 powyżej).</w:t>
      </w:r>
    </w:p>
    <w:p w14:paraId="4761136B" w14:textId="79BB785B" w:rsidR="009A7E81" w:rsidRPr="0043093E" w:rsidRDefault="009A7E81" w:rsidP="0043093E">
      <w:pPr>
        <w:pStyle w:val="JuPara"/>
        <w:rPr>
          <w:rFonts w:ascii="Times New Roman" w:eastAsia="Times New Roman" w:hAnsi="Times New Roman" w:cs="Times New Roman"/>
        </w:rPr>
      </w:pPr>
      <w:r>
        <w:rPr>
          <w:rFonts w:ascii="Times New Roman" w:eastAsia="Times New Roman" w:hAnsi="Times New Roman" w:cs="Times New Roman"/>
          <w:lang w:val="pl"/>
        </w:rPr>
        <w:fldChar w:fldCharType="begin"/>
      </w:r>
      <w:r>
        <w:rPr>
          <w:rFonts w:ascii="Times New Roman" w:eastAsia="Times New Roman" w:hAnsi="Times New Roman" w:cs="Times New Roman"/>
          <w:lang w:val="pl"/>
        </w:rPr>
        <w:instrText xml:space="preserve"> SEQ level0 \*arabic </w:instrText>
      </w:r>
      <w:r>
        <w:rPr>
          <w:rFonts w:ascii="Times New Roman" w:eastAsia="Times New Roman" w:hAnsi="Times New Roman" w:cs="Times New Roman"/>
          <w:lang w:val="pl"/>
        </w:rPr>
        <w:fldChar w:fldCharType="separate"/>
      </w:r>
      <w:r>
        <w:rPr>
          <w:rFonts w:ascii="Times New Roman" w:eastAsia="Times New Roman" w:hAnsi="Times New Roman" w:cs="Times New Roman"/>
          <w:noProof/>
          <w:lang w:val="pl"/>
        </w:rPr>
        <w:t>39</w:t>
      </w:r>
      <w:r>
        <w:rPr>
          <w:rFonts w:ascii="Times New Roman" w:eastAsia="Times New Roman" w:hAnsi="Times New Roman" w:cs="Times New Roman"/>
          <w:lang w:val="pl"/>
        </w:rPr>
        <w:fldChar w:fldCharType="end"/>
      </w:r>
      <w:r>
        <w:rPr>
          <w:rFonts w:ascii="Times New Roman" w:eastAsia="Times New Roman" w:hAnsi="Times New Roman" w:cs="Times New Roman"/>
          <w:lang w:val="pl"/>
        </w:rPr>
        <w:t>.  W niniejszej sprawie Trybunał zauważył, że zgodnie z prawem skarżący mógł zostać ukarany grzywną w wysokości od 600 euro do dwukrotności wartości użytych środków płatniczych, a ostatecznie został zobowiązany do zapłaty całej zajętej kwoty, czyli 153 800 euro.</w:t>
      </w:r>
    </w:p>
    <w:p w14:paraId="7232D6D2" w14:textId="12FDB977" w:rsidR="009A7E81" w:rsidRPr="0043093E" w:rsidRDefault="009A7E81" w:rsidP="0043093E">
      <w:pPr>
        <w:pStyle w:val="JuPara"/>
        <w:rPr>
          <w:rFonts w:eastAsia="Times New Roman"/>
        </w:rPr>
      </w:pPr>
      <w:r>
        <w:rPr>
          <w:rFonts w:eastAsia="Times New Roman"/>
          <w:lang w:val="pl"/>
        </w:rPr>
        <w:fldChar w:fldCharType="begin"/>
      </w:r>
      <w:r>
        <w:rPr>
          <w:rFonts w:eastAsia="Times New Roman"/>
          <w:lang w:val="pl"/>
        </w:rPr>
        <w:instrText xml:space="preserve"> SEQ level0 \*arabic </w:instrText>
      </w:r>
      <w:r>
        <w:rPr>
          <w:rFonts w:eastAsia="Times New Roman"/>
          <w:lang w:val="pl"/>
        </w:rPr>
        <w:fldChar w:fldCharType="separate"/>
      </w:r>
      <w:r>
        <w:rPr>
          <w:rFonts w:eastAsia="Times New Roman"/>
          <w:noProof/>
          <w:lang w:val="pl"/>
        </w:rPr>
        <w:t>40</w:t>
      </w:r>
      <w:r>
        <w:rPr>
          <w:rFonts w:eastAsia="Times New Roman"/>
          <w:lang w:val="pl"/>
        </w:rPr>
        <w:fldChar w:fldCharType="end"/>
      </w:r>
      <w:r>
        <w:rPr>
          <w:rFonts w:eastAsia="Times New Roman"/>
          <w:lang w:val="pl"/>
        </w:rPr>
        <w:t xml:space="preserve">.  Trybunał zauważa, że okoliczności niniejszej sprawy należy odróżnić od okoliczności badanych w sprawie </w:t>
      </w:r>
      <w:proofErr w:type="spellStart"/>
      <w:r>
        <w:rPr>
          <w:rFonts w:eastAsia="Times New Roman"/>
          <w:i/>
          <w:iCs/>
          <w:lang w:val="pl"/>
        </w:rPr>
        <w:t>Luchaninova</w:t>
      </w:r>
      <w:proofErr w:type="spellEnd"/>
      <w:r>
        <w:rPr>
          <w:rFonts w:eastAsia="Times New Roman"/>
          <w:i/>
          <w:iCs/>
          <w:lang w:val="pl"/>
        </w:rPr>
        <w:t xml:space="preserve"> przeciwko Ukrainie </w:t>
      </w:r>
      <w:r>
        <w:rPr>
          <w:rFonts w:eastAsia="Times New Roman"/>
          <w:lang w:val="pl"/>
        </w:rPr>
        <w:t>(nr 16347/02, 9 czerwca 2011 r.), w której Trybunał nie stwierdził naruszenia Artykułu 2 Protokołu nr 7 do Konwencji na tej podstawie, że drobna kradzież o wartości mniejszej niż 1 euro, za którą skarżąca została skazany i ukarany grzywną w wysokości 10 euro, stanowiła "drobne naruszenie", które nie mogło być zagrożone karą pozbawienia wolności.</w:t>
      </w:r>
    </w:p>
    <w:p w14:paraId="23682629" w14:textId="51E3E892" w:rsidR="009A7E81" w:rsidRPr="0043093E" w:rsidRDefault="009A7E81" w:rsidP="0043093E">
      <w:pPr>
        <w:pStyle w:val="JuPara"/>
        <w:rPr>
          <w:rFonts w:eastAsia="Times New Roman"/>
        </w:rPr>
      </w:pPr>
      <w:r>
        <w:rPr>
          <w:rFonts w:eastAsia="Times New Roman"/>
          <w:lang w:val="pl"/>
        </w:rPr>
        <w:fldChar w:fldCharType="begin"/>
      </w:r>
      <w:r>
        <w:rPr>
          <w:rFonts w:eastAsia="Times New Roman"/>
          <w:lang w:val="pl"/>
        </w:rPr>
        <w:instrText xml:space="preserve"> SEQ level0 \*arabic </w:instrText>
      </w:r>
      <w:r>
        <w:rPr>
          <w:rFonts w:eastAsia="Times New Roman"/>
          <w:lang w:val="pl"/>
        </w:rPr>
        <w:fldChar w:fldCharType="separate"/>
      </w:r>
      <w:r>
        <w:rPr>
          <w:rFonts w:eastAsia="Times New Roman"/>
          <w:noProof/>
          <w:lang w:val="pl"/>
        </w:rPr>
        <w:t>41</w:t>
      </w:r>
      <w:r>
        <w:rPr>
          <w:rFonts w:eastAsia="Times New Roman"/>
          <w:lang w:val="pl"/>
        </w:rPr>
        <w:fldChar w:fldCharType="end"/>
      </w:r>
      <w:r>
        <w:rPr>
          <w:rFonts w:eastAsia="Times New Roman"/>
          <w:lang w:val="pl"/>
        </w:rPr>
        <w:t xml:space="preserve">.  Trybunał zauważa, że kwota zajęta w niniejszej sprawie jest znacznie wyższa niż kwota będąca przedmiotem wspomnianej sprawy i stanowi równowartość całości osobistych oszczędności, które skarżący, niekarany, zdołał odłożyć podczas swoich okresowych pobytów w Hiszpanii. W związku z tym, a także mając na uwadze, że nie udowodniono, iż zajęte fundusze pochodziły z praktyk prania brudnych pieniędzy, Trybunał powtarza, że kara musi odpowiadać powadze stwierdzonego naruszenia, a mianowicie niewypełnienia obowiązku złożenia deklaracji, a nie powadze ewentualnego naruszenia, niestwierdzonego na tym etapie, które polegałoby na popełnieniu przestępstwa, takiego jak pranie brudnych pieniędzy lub uchylanie się od płacenia podatków (zob. </w:t>
      </w:r>
      <w:r>
        <w:rPr>
          <w:rFonts w:eastAsia="Times New Roman"/>
          <w:i/>
          <w:iCs/>
          <w:lang w:val="pl"/>
        </w:rPr>
        <w:t>mutatis mutandis</w:t>
      </w:r>
      <w:r>
        <w:rPr>
          <w:rFonts w:eastAsia="Times New Roman"/>
          <w:lang w:val="pl"/>
        </w:rPr>
        <w:t xml:space="preserve">, na podstawie art. 1 Protokołu nr 1 do Konwencji, </w:t>
      </w:r>
      <w:proofErr w:type="spellStart"/>
      <w:r>
        <w:rPr>
          <w:rFonts w:eastAsia="Times New Roman"/>
          <w:i/>
          <w:iCs/>
          <w:lang w:val="pl"/>
        </w:rPr>
        <w:t>Grifhorst</w:t>
      </w:r>
      <w:proofErr w:type="spellEnd"/>
      <w:r>
        <w:rPr>
          <w:rFonts w:eastAsia="Times New Roman"/>
          <w:i/>
          <w:iCs/>
          <w:lang w:val="pl"/>
        </w:rPr>
        <w:t xml:space="preserve"> przeciwko Francji</w:t>
      </w:r>
      <w:r>
        <w:rPr>
          <w:rFonts w:eastAsia="Times New Roman"/>
          <w:lang w:val="pl"/>
        </w:rPr>
        <w:t xml:space="preserve">, nr 28336/02, </w:t>
      </w:r>
      <w:r>
        <w:rPr>
          <w:rFonts w:eastAsia="Times New Roman"/>
          <w:snapToGrid w:val="0"/>
          <w:lang w:val="pl"/>
        </w:rPr>
        <w:t xml:space="preserve">§ 102 </w:t>
      </w:r>
      <w:r>
        <w:rPr>
          <w:rFonts w:eastAsia="Times New Roman"/>
          <w:lang w:val="pl"/>
        </w:rPr>
        <w:t xml:space="preserve">, 26 lutego 2009 r.) Ponadto, jeśli chodzi o zachowanie skarżącego, Rząd </w:t>
      </w:r>
      <w:r>
        <w:rPr>
          <w:rFonts w:eastAsia="Times New Roman"/>
          <w:lang w:val="pl"/>
        </w:rPr>
        <w:lastRenderedPageBreak/>
        <w:t xml:space="preserve">nie kwestionuje, że wypełnił on obowiązek zadeklarowania funduszy przy każdej okazji, gdy wkraczał na terytorium Hiszpanii </w:t>
      </w:r>
      <w:r>
        <w:rPr>
          <w:rFonts w:eastAsia="Times New Roman"/>
          <w:i/>
          <w:iCs/>
          <w:lang w:val="pl"/>
        </w:rPr>
        <w:t xml:space="preserve">(zob. </w:t>
      </w:r>
      <w:proofErr w:type="spellStart"/>
      <w:r>
        <w:rPr>
          <w:rFonts w:eastAsia="Times New Roman"/>
          <w:i/>
          <w:iCs/>
          <w:lang w:val="pl"/>
        </w:rPr>
        <w:t>Grifhorst</w:t>
      </w:r>
      <w:proofErr w:type="spellEnd"/>
      <w:r>
        <w:rPr>
          <w:rFonts w:eastAsia="Times New Roman"/>
          <w:lang w:val="pl"/>
        </w:rPr>
        <w:t xml:space="preserve">, cytowany powyżej, </w:t>
      </w:r>
      <w:r>
        <w:rPr>
          <w:rFonts w:eastAsia="Times New Roman"/>
          <w:snapToGrid w:val="0"/>
          <w:lang w:val="pl"/>
        </w:rPr>
        <w:t>§§ 95 i następne</w:t>
      </w:r>
      <w:r>
        <w:rPr>
          <w:rFonts w:eastAsia="Times New Roman"/>
          <w:lang w:val="pl"/>
        </w:rPr>
        <w:t>).</w:t>
      </w:r>
    </w:p>
    <w:p w14:paraId="6D8CADB6" w14:textId="3A3090C3" w:rsidR="009A7E81" w:rsidRPr="0043093E" w:rsidRDefault="009A7E81" w:rsidP="0043093E">
      <w:pPr>
        <w:pStyle w:val="JuPara"/>
        <w:rPr>
          <w:rFonts w:eastAsia="Times New Roman"/>
        </w:rPr>
      </w:pPr>
      <w:r>
        <w:rPr>
          <w:rFonts w:eastAsia="Times New Roman"/>
          <w:lang w:val="pl"/>
        </w:rPr>
        <w:fldChar w:fldCharType="begin"/>
      </w:r>
      <w:r>
        <w:rPr>
          <w:rFonts w:eastAsia="Times New Roman"/>
          <w:lang w:val="pl"/>
        </w:rPr>
        <w:instrText xml:space="preserve"> SEQ level0 \*arabic </w:instrText>
      </w:r>
      <w:r>
        <w:rPr>
          <w:rFonts w:eastAsia="Times New Roman"/>
          <w:lang w:val="pl"/>
        </w:rPr>
        <w:fldChar w:fldCharType="separate"/>
      </w:r>
      <w:r>
        <w:rPr>
          <w:rFonts w:eastAsia="Times New Roman"/>
          <w:noProof/>
          <w:lang w:val="pl"/>
        </w:rPr>
        <w:t>42</w:t>
      </w:r>
      <w:r>
        <w:rPr>
          <w:rFonts w:eastAsia="Times New Roman"/>
          <w:lang w:val="pl"/>
        </w:rPr>
        <w:fldChar w:fldCharType="end"/>
      </w:r>
      <w:r>
        <w:rPr>
          <w:rFonts w:eastAsia="Times New Roman"/>
          <w:lang w:val="pl"/>
        </w:rPr>
        <w:t>.  Ponadto Trybunał zauważa, że wyrok Sądu Najwyższego w Madrycie nie zawiera żadnej analizy proporcjonalności przedmiotowego środka, jak wymaga tego art. 59 §§ 1, 2 i 3 ustawy nr 10/2010 z dnia 28 kwietnia 2010 roku (zob. paragraf 11 powyżej). Wyrok nie uwzględniał bowiem okoliczności osobistych skarżącego, ani przedstawionych przez niego dokumentów czy dowodów. Jest to wymóg, o którym Trybunał miał okazję przypomnieć przy badaniu sankcji celnych na podstawie art. 1 Protokołu nr 1</w:t>
      </w:r>
      <w:r>
        <w:rPr>
          <w:rFonts w:eastAsia="Times New Roman"/>
          <w:i/>
          <w:iCs/>
          <w:lang w:val="pl"/>
        </w:rPr>
        <w:t>(</w:t>
      </w:r>
      <w:proofErr w:type="spellStart"/>
      <w:r>
        <w:rPr>
          <w:rFonts w:eastAsia="Times New Roman"/>
          <w:i/>
          <w:iCs/>
          <w:lang w:val="pl"/>
        </w:rPr>
        <w:t>Ismayilov</w:t>
      </w:r>
      <w:proofErr w:type="spellEnd"/>
      <w:r>
        <w:rPr>
          <w:rFonts w:eastAsia="Times New Roman"/>
          <w:i/>
          <w:iCs/>
          <w:lang w:val="pl"/>
        </w:rPr>
        <w:t xml:space="preserve"> przeciwko Rosji</w:t>
      </w:r>
      <w:r>
        <w:rPr>
          <w:rFonts w:eastAsia="Times New Roman"/>
          <w:lang w:val="pl"/>
        </w:rPr>
        <w:t xml:space="preserve">, nr 30352/03, §§ 34-38, 6 listopada 2008 r., </w:t>
      </w:r>
      <w:proofErr w:type="spellStart"/>
      <w:r>
        <w:rPr>
          <w:rFonts w:eastAsia="Times New Roman"/>
          <w:i/>
          <w:iCs/>
          <w:lang w:val="pl"/>
        </w:rPr>
        <w:t>Gabrić</w:t>
      </w:r>
      <w:proofErr w:type="spellEnd"/>
      <w:r>
        <w:rPr>
          <w:rFonts w:eastAsia="Times New Roman"/>
          <w:i/>
          <w:iCs/>
          <w:lang w:val="pl"/>
        </w:rPr>
        <w:t xml:space="preserve"> przeciwko Chorwacji</w:t>
      </w:r>
      <w:r>
        <w:rPr>
          <w:rFonts w:eastAsia="Times New Roman"/>
          <w:lang w:val="pl"/>
        </w:rPr>
        <w:t xml:space="preserve">, nr 9702/04, §§ 36-40, 5 lutego 2009 r., </w:t>
      </w:r>
      <w:r>
        <w:rPr>
          <w:rFonts w:eastAsia="Times New Roman"/>
          <w:i/>
          <w:iCs/>
          <w:lang w:val="pl"/>
        </w:rPr>
        <w:t>Moon przeciwko Francji</w:t>
      </w:r>
      <w:r>
        <w:rPr>
          <w:rFonts w:eastAsia="Times New Roman"/>
          <w:lang w:val="pl"/>
        </w:rPr>
        <w:t xml:space="preserve">, nr 39973/03, §§ 49-51, 9 lipca 2009 r. oraz </w:t>
      </w:r>
      <w:proofErr w:type="spellStart"/>
      <w:r>
        <w:rPr>
          <w:rFonts w:eastAsia="Times New Roman"/>
          <w:i/>
          <w:iCs/>
          <w:lang w:val="pl"/>
        </w:rPr>
        <w:t>Boljević</w:t>
      </w:r>
      <w:proofErr w:type="spellEnd"/>
      <w:r>
        <w:rPr>
          <w:rFonts w:eastAsia="Times New Roman"/>
          <w:i/>
          <w:iCs/>
          <w:lang w:val="pl"/>
        </w:rPr>
        <w:t xml:space="preserve"> przeciwko Chorwacji</w:t>
      </w:r>
      <w:r>
        <w:rPr>
          <w:rFonts w:eastAsia="Times New Roman"/>
          <w:lang w:val="pl"/>
        </w:rPr>
        <w:t>, nr 43492/11, §§ 42-45, 31 stycznia 2017 r.).</w:t>
      </w:r>
    </w:p>
    <w:p w14:paraId="48F10F82" w14:textId="5ED6959E" w:rsidR="009A7E81" w:rsidRPr="0043093E" w:rsidRDefault="009A7E81" w:rsidP="0043093E">
      <w:pPr>
        <w:pStyle w:val="JuPara"/>
        <w:rPr>
          <w:rFonts w:eastAsia="Times New Roman"/>
        </w:rPr>
      </w:pPr>
      <w:r>
        <w:rPr>
          <w:rFonts w:eastAsia="Times New Roman"/>
          <w:lang w:val="pl"/>
        </w:rPr>
        <w:fldChar w:fldCharType="begin"/>
      </w:r>
      <w:r>
        <w:rPr>
          <w:rFonts w:eastAsia="Times New Roman"/>
          <w:lang w:val="pl"/>
        </w:rPr>
        <w:instrText xml:space="preserve"> SEQ level0 \*arabic </w:instrText>
      </w:r>
      <w:r>
        <w:rPr>
          <w:rFonts w:eastAsia="Times New Roman"/>
          <w:lang w:val="pl"/>
        </w:rPr>
        <w:fldChar w:fldCharType="separate"/>
      </w:r>
      <w:r>
        <w:rPr>
          <w:rFonts w:eastAsia="Times New Roman"/>
          <w:noProof/>
          <w:lang w:val="pl"/>
        </w:rPr>
        <w:t>43</w:t>
      </w:r>
      <w:r>
        <w:rPr>
          <w:rFonts w:eastAsia="Times New Roman"/>
          <w:lang w:val="pl"/>
        </w:rPr>
        <w:fldChar w:fldCharType="end"/>
      </w:r>
      <w:r>
        <w:rPr>
          <w:rFonts w:eastAsia="Times New Roman"/>
          <w:lang w:val="pl"/>
        </w:rPr>
        <w:t>.  Ponadto Trybunał zauważył, że zgodnie z obowiązującym prawem (art. 34 ustawy nr 10/2010 z dnia 28 kwietnia 2010 r.) legalny wywóz kapitału podlega co do zasady jedynie zgłoszeniu, bez konieczności uzyskania uprzedniego zezwolenia, w celu przeprowadzenia odpowiednich kontroli w zakresie zapobiegania praniu brudnych pieniędzy lub finansowaniu terroryzmu.</w:t>
      </w:r>
    </w:p>
    <w:p w14:paraId="62ECD9BF" w14:textId="5E0EB221" w:rsidR="009A7E81" w:rsidRPr="0043093E" w:rsidRDefault="009A7E81" w:rsidP="0043093E">
      <w:pPr>
        <w:pStyle w:val="JuPara"/>
        <w:rPr>
          <w:rFonts w:eastAsia="Times New Roman"/>
        </w:rPr>
      </w:pPr>
      <w:r>
        <w:rPr>
          <w:rFonts w:eastAsia="Times New Roman"/>
          <w:lang w:val="pl"/>
        </w:rPr>
        <w:fldChar w:fldCharType="begin"/>
      </w:r>
      <w:r>
        <w:rPr>
          <w:rFonts w:eastAsia="Times New Roman"/>
          <w:lang w:val="pl"/>
        </w:rPr>
        <w:instrText xml:space="preserve"> SEQ level0 \*arabic </w:instrText>
      </w:r>
      <w:r>
        <w:rPr>
          <w:rFonts w:eastAsia="Times New Roman"/>
          <w:lang w:val="pl"/>
        </w:rPr>
        <w:fldChar w:fldCharType="separate"/>
      </w:r>
      <w:r>
        <w:rPr>
          <w:rFonts w:eastAsia="Times New Roman"/>
          <w:noProof/>
          <w:lang w:val="pl"/>
        </w:rPr>
        <w:t>44</w:t>
      </w:r>
      <w:r>
        <w:rPr>
          <w:rFonts w:eastAsia="Times New Roman"/>
          <w:lang w:val="pl"/>
        </w:rPr>
        <w:fldChar w:fldCharType="end"/>
      </w:r>
      <w:r>
        <w:rPr>
          <w:rFonts w:eastAsia="Times New Roman"/>
          <w:lang w:val="pl"/>
        </w:rPr>
        <w:t xml:space="preserve">.  W konsekwencji Trybunał uważa, że zajęcie praktycznie całej kwoty odkrytej podczas kontroli celnej przeprowadzonej w niniejszej sprawie, bez przeprowadzenia przez władze krajowe kontroli proporcjonalności, wyklucza uznanie przestępstwa za "drobne" w rozumieniu art. 2 Protokołu nr 7 (zob. w świetle art. 1 Protokołu nr 1 konkluzję Trybunału w sprawie </w:t>
      </w:r>
      <w:proofErr w:type="spellStart"/>
      <w:r>
        <w:rPr>
          <w:rFonts w:eastAsia="Times New Roman"/>
          <w:i/>
          <w:iCs/>
          <w:lang w:val="pl"/>
        </w:rPr>
        <w:t>Togrul</w:t>
      </w:r>
      <w:proofErr w:type="spellEnd"/>
      <w:r>
        <w:rPr>
          <w:rFonts w:eastAsia="Times New Roman"/>
          <w:i/>
          <w:iCs/>
          <w:lang w:val="pl"/>
        </w:rPr>
        <w:t xml:space="preserve"> przeciwko Bułgarii</w:t>
      </w:r>
      <w:r>
        <w:rPr>
          <w:rFonts w:eastAsia="Times New Roman"/>
          <w:lang w:val="pl"/>
        </w:rPr>
        <w:t xml:space="preserve">, nr 20611/10, § 45 </w:t>
      </w:r>
      <w:r>
        <w:rPr>
          <w:rFonts w:eastAsia="Times New Roman"/>
          <w:i/>
          <w:iCs/>
          <w:lang w:val="pl"/>
        </w:rPr>
        <w:t>in fine</w:t>
      </w:r>
      <w:r>
        <w:rPr>
          <w:rFonts w:eastAsia="Times New Roman"/>
          <w:lang w:val="pl"/>
        </w:rPr>
        <w:t>, 15 listopada 2018 r.), a w konsekwencji wyjątek od prawa do instancji drugiego stopnia w odniesieniu do drobnych naruszeń, przewidziany w § 2 wspomnianego przepisu, nie ma zatem zastosowania do szczególnych okoliczności niniejszej sprawy.</w:t>
      </w:r>
    </w:p>
    <w:p w14:paraId="336A6754" w14:textId="096C1B7D" w:rsidR="009A7E81" w:rsidRPr="0043093E" w:rsidRDefault="009A7E81" w:rsidP="0043093E">
      <w:pPr>
        <w:pStyle w:val="JuPara"/>
        <w:rPr>
          <w:rFonts w:eastAsia="Times New Roman"/>
        </w:rPr>
      </w:pPr>
      <w:r>
        <w:rPr>
          <w:rFonts w:eastAsia="Times New Roman"/>
          <w:lang w:val="pl"/>
        </w:rPr>
        <w:fldChar w:fldCharType="begin"/>
      </w:r>
      <w:r>
        <w:rPr>
          <w:rFonts w:eastAsia="Times New Roman"/>
          <w:lang w:val="pl"/>
        </w:rPr>
        <w:instrText xml:space="preserve"> SEQ level0 \*arabic </w:instrText>
      </w:r>
      <w:r>
        <w:rPr>
          <w:rFonts w:eastAsia="Times New Roman"/>
          <w:lang w:val="pl"/>
        </w:rPr>
        <w:fldChar w:fldCharType="separate"/>
      </w:r>
      <w:r>
        <w:rPr>
          <w:rFonts w:eastAsia="Times New Roman"/>
          <w:noProof/>
          <w:lang w:val="pl"/>
        </w:rPr>
        <w:t>45</w:t>
      </w:r>
      <w:r>
        <w:rPr>
          <w:rFonts w:eastAsia="Times New Roman"/>
          <w:lang w:val="pl"/>
        </w:rPr>
        <w:fldChar w:fldCharType="end"/>
      </w:r>
      <w:r>
        <w:rPr>
          <w:rFonts w:eastAsia="Times New Roman"/>
          <w:lang w:val="pl"/>
        </w:rPr>
        <w:t>.  Ponieważ zatem wyjątek przewidziany w art. 2 § 2 Protokołu nr 7 nie miał zastosowania w niniejszej sprawie, Trybunał stwierdził, że skarżący miał prawo do poddania swojego wyroku skazującego kontroli sądu wyższej instancji.</w:t>
      </w:r>
    </w:p>
    <w:p w14:paraId="140ACD6C" w14:textId="78653A2A" w:rsidR="009A7E81" w:rsidRPr="0043093E" w:rsidRDefault="009A7E81" w:rsidP="0043093E">
      <w:pPr>
        <w:pStyle w:val="JuPara"/>
        <w:rPr>
          <w:rFonts w:eastAsia="Times New Roman"/>
        </w:rPr>
      </w:pPr>
      <w:r>
        <w:rPr>
          <w:rFonts w:eastAsia="Times New Roman"/>
          <w:lang w:val="pl"/>
        </w:rPr>
        <w:fldChar w:fldCharType="begin"/>
      </w:r>
      <w:r>
        <w:rPr>
          <w:rFonts w:eastAsia="Times New Roman"/>
          <w:lang w:val="pl"/>
        </w:rPr>
        <w:instrText xml:space="preserve"> SEQ level0 \*arabic </w:instrText>
      </w:r>
      <w:r>
        <w:rPr>
          <w:rFonts w:eastAsia="Times New Roman"/>
          <w:lang w:val="pl"/>
        </w:rPr>
        <w:fldChar w:fldCharType="separate"/>
      </w:r>
      <w:r>
        <w:rPr>
          <w:rFonts w:eastAsia="Times New Roman"/>
          <w:noProof/>
          <w:lang w:val="pl"/>
        </w:rPr>
        <w:t>46</w:t>
      </w:r>
      <w:r>
        <w:rPr>
          <w:rFonts w:eastAsia="Times New Roman"/>
          <w:lang w:val="pl"/>
        </w:rPr>
        <w:fldChar w:fldCharType="end"/>
      </w:r>
      <w:r>
        <w:rPr>
          <w:rFonts w:eastAsia="Times New Roman"/>
          <w:lang w:val="pl"/>
        </w:rPr>
        <w:t>.  To samo dotyczy wyjątku podniesionego przez Rząd dotyczącego sądu najwyższej instancji w sporach administracyjnych (zob. paragraf 34 powyżej), w zakresie, w jakim zgodnie z nowelizacją Ustawy nr 37/2011 z dnia 10 października 2011 r., w sporach administracyjnych Sąd Najwyższy jest jednym z sądów powszechnych, do których mogą być skierowane skargi po Sądzie Najwyższym, w przypadku gdy przedmiotowa kwota jest większa niż 600.000 euro (zob. paragraf 9 powyżej).</w:t>
      </w:r>
    </w:p>
    <w:p w14:paraId="7D775BC8" w14:textId="54564EA8" w:rsidR="009A7E81" w:rsidRPr="0043093E" w:rsidRDefault="009A7E81" w:rsidP="0043093E">
      <w:pPr>
        <w:pStyle w:val="JuH1"/>
      </w:pPr>
      <w:r>
        <w:rPr>
          <w:bCs w:val="0"/>
          <w:lang w:val="pl"/>
        </w:rPr>
        <w:lastRenderedPageBreak/>
        <w:t>W sprawie pytania czy skarżący skorzystał z podwójnego poziomu jurysdykcji</w:t>
      </w:r>
    </w:p>
    <w:p w14:paraId="670906A8" w14:textId="52352119" w:rsidR="009A7E81" w:rsidRPr="0043093E" w:rsidRDefault="009A7E81" w:rsidP="0043093E">
      <w:pPr>
        <w:pStyle w:val="JuPara"/>
        <w:rPr>
          <w:rFonts w:eastAsia="Times New Roman"/>
        </w:rPr>
      </w:pPr>
      <w:r>
        <w:rPr>
          <w:lang w:val="pl"/>
        </w:rPr>
        <w:fldChar w:fldCharType="begin"/>
      </w:r>
      <w:r>
        <w:rPr>
          <w:lang w:val="pl"/>
        </w:rPr>
        <w:instrText xml:space="preserve"> SEQ level0 \*arabic </w:instrText>
      </w:r>
      <w:r>
        <w:rPr>
          <w:lang w:val="pl"/>
        </w:rPr>
        <w:fldChar w:fldCharType="separate"/>
      </w:r>
      <w:r>
        <w:rPr>
          <w:noProof/>
          <w:lang w:val="pl"/>
        </w:rPr>
        <w:t>47</w:t>
      </w:r>
      <w:r>
        <w:rPr>
          <w:lang w:val="pl"/>
        </w:rPr>
        <w:fldChar w:fldCharType="end"/>
      </w:r>
      <w:r>
        <w:rPr>
          <w:lang w:val="pl"/>
        </w:rPr>
        <w:t>.  W świetle tego ustalenia konieczne będzie teraz ustalenie, czy skarżący faktycznie skorzystał z drugiej instancji w rozumieniu art. 2 Protokołu nr 7.</w:t>
      </w:r>
    </w:p>
    <w:p w14:paraId="605156BC" w14:textId="6A83C748" w:rsidR="009A7E81" w:rsidRPr="0043093E" w:rsidRDefault="009A7E81" w:rsidP="0043093E">
      <w:pPr>
        <w:pStyle w:val="JuPara"/>
        <w:rPr>
          <w:rFonts w:eastAsia="Times New Roman"/>
        </w:rPr>
      </w:pPr>
      <w:r>
        <w:rPr>
          <w:rFonts w:eastAsia="Times New Roman"/>
          <w:lang w:val="pl"/>
        </w:rPr>
        <w:fldChar w:fldCharType="begin"/>
      </w:r>
      <w:r>
        <w:rPr>
          <w:rFonts w:eastAsia="Times New Roman"/>
          <w:lang w:val="pl"/>
        </w:rPr>
        <w:instrText xml:space="preserve"> SEQ level0 \*arabic </w:instrText>
      </w:r>
      <w:r>
        <w:rPr>
          <w:rFonts w:eastAsia="Times New Roman"/>
          <w:lang w:val="pl"/>
        </w:rPr>
        <w:fldChar w:fldCharType="separate"/>
      </w:r>
      <w:r>
        <w:rPr>
          <w:rFonts w:eastAsia="Times New Roman"/>
          <w:noProof/>
          <w:lang w:val="pl"/>
        </w:rPr>
        <w:t>48</w:t>
      </w:r>
      <w:r>
        <w:rPr>
          <w:rFonts w:eastAsia="Times New Roman"/>
          <w:lang w:val="pl"/>
        </w:rPr>
        <w:fldChar w:fldCharType="end"/>
      </w:r>
      <w:r>
        <w:rPr>
          <w:rFonts w:eastAsia="Times New Roman"/>
          <w:lang w:val="pl"/>
        </w:rPr>
        <w:t>.  Rząd stwierdził, że skargi skarżącego zostały rozpatrzone przez sądy dwóch szczebli, a mianowicie Dyrekcję Generalną Skarbu i Polityki Finansowej Ministerstwa Spraw Gospodarczych oraz Sąd Najwyższy w Madrycie. Stwierdza on, że odwołanie do tego sądu jest w rzeczywistości rewizją wykonaną przez "sąd wyższej instancji", tak jak tego wymaga Protokół nr 7 do Konwencji.</w:t>
      </w:r>
    </w:p>
    <w:p w14:paraId="2B79663B" w14:textId="0A1DFBC4" w:rsidR="009A7E81" w:rsidRPr="0043093E" w:rsidRDefault="009A7E81" w:rsidP="0043093E">
      <w:pPr>
        <w:pStyle w:val="JuPara"/>
        <w:rPr>
          <w:rFonts w:eastAsia="Times New Roman"/>
        </w:rPr>
      </w:pPr>
      <w:r>
        <w:rPr>
          <w:lang w:val="pl"/>
        </w:rPr>
        <w:fldChar w:fldCharType="begin"/>
      </w:r>
      <w:r>
        <w:rPr>
          <w:lang w:val="pl"/>
        </w:rPr>
        <w:instrText xml:space="preserve"> SEQ level0 \*arabic </w:instrText>
      </w:r>
      <w:r>
        <w:rPr>
          <w:lang w:val="pl"/>
        </w:rPr>
        <w:fldChar w:fldCharType="separate"/>
      </w:r>
      <w:r>
        <w:rPr>
          <w:noProof/>
          <w:lang w:val="pl"/>
        </w:rPr>
        <w:t>49</w:t>
      </w:r>
      <w:r>
        <w:rPr>
          <w:lang w:val="pl"/>
        </w:rPr>
        <w:fldChar w:fldCharType="end"/>
      </w:r>
      <w:r>
        <w:rPr>
          <w:lang w:val="pl"/>
        </w:rPr>
        <w:t xml:space="preserve">.  W odniesieniu do zakresu kontroli wykonywanej przez Trybunał Konstytucyjny w ramach skargi konstytucyjnej </w:t>
      </w:r>
      <w:proofErr w:type="spellStart"/>
      <w:r>
        <w:rPr>
          <w:i/>
          <w:iCs/>
          <w:lang w:val="pl"/>
        </w:rPr>
        <w:t>amparo</w:t>
      </w:r>
      <w:proofErr w:type="spellEnd"/>
      <w:r>
        <w:rPr>
          <w:lang w:val="pl"/>
        </w:rPr>
        <w:t xml:space="preserve">, Rząd wyraził pogląd, że w zakresie, w jakim sąd najwyższy był właściwy, zgodnie z ustawą organiczną o Trybunale Konstytucyjnym ("LOTC"), do uchylenia decyzji </w:t>
      </w:r>
      <w:r>
        <w:rPr>
          <w:i/>
          <w:iCs/>
          <w:lang w:val="pl"/>
        </w:rPr>
        <w:t xml:space="preserve">a quo </w:t>
      </w:r>
      <w:r>
        <w:rPr>
          <w:lang w:val="pl"/>
        </w:rPr>
        <w:t xml:space="preserve">zaskarżonej w skardze </w:t>
      </w:r>
      <w:proofErr w:type="spellStart"/>
      <w:r>
        <w:rPr>
          <w:i/>
          <w:iCs/>
          <w:lang w:val="pl"/>
        </w:rPr>
        <w:t>amparo</w:t>
      </w:r>
      <w:proofErr w:type="spellEnd"/>
      <w:r>
        <w:rPr>
          <w:lang w:val="pl"/>
        </w:rPr>
        <w:t>, kontrola przeprowadzona przez ten sąd spełniała wymogi prawa do drugiej instancji zapisanego w artykule 2 § 1 Protokołu nr 7 do Konwencji.</w:t>
      </w:r>
    </w:p>
    <w:p w14:paraId="6B53A98B" w14:textId="4B70817F" w:rsidR="009A7E81" w:rsidRPr="0043093E" w:rsidRDefault="009A7E81" w:rsidP="0043093E">
      <w:pPr>
        <w:pStyle w:val="JuPara"/>
        <w:rPr>
          <w:rFonts w:eastAsia="Times New Roman"/>
        </w:rPr>
      </w:pPr>
      <w:r>
        <w:rPr>
          <w:rFonts w:eastAsia="Times New Roman"/>
          <w:lang w:val="pl"/>
        </w:rPr>
        <w:fldChar w:fldCharType="begin"/>
      </w:r>
      <w:r>
        <w:rPr>
          <w:rFonts w:eastAsia="Times New Roman"/>
          <w:lang w:val="pl"/>
        </w:rPr>
        <w:instrText xml:space="preserve"> SEQ level0 \*arabic </w:instrText>
      </w:r>
      <w:r>
        <w:rPr>
          <w:rFonts w:eastAsia="Times New Roman"/>
          <w:lang w:val="pl"/>
        </w:rPr>
        <w:fldChar w:fldCharType="separate"/>
      </w:r>
      <w:r>
        <w:rPr>
          <w:rFonts w:eastAsia="Times New Roman"/>
          <w:noProof/>
          <w:lang w:val="pl"/>
        </w:rPr>
        <w:t>50</w:t>
      </w:r>
      <w:r>
        <w:rPr>
          <w:rFonts w:eastAsia="Times New Roman"/>
          <w:lang w:val="pl"/>
        </w:rPr>
        <w:fldChar w:fldCharType="end"/>
      </w:r>
      <w:r>
        <w:rPr>
          <w:rFonts w:eastAsia="Times New Roman"/>
          <w:lang w:val="pl"/>
        </w:rPr>
        <w:t>.  Ze swojej strony skarżący odpowiada po pierwsze, że Generalna Dyrekcja Skarbu i Polityki Finansowej Ministerstwa Gospodarki jest organem administracyjnym zależnym od władzy rządu hiszpańskiego i dlatego nie posiada cech niezależności i bezstronności właściwych sądowi.</w:t>
      </w:r>
    </w:p>
    <w:p w14:paraId="039C179C" w14:textId="57101F43" w:rsidR="009A7E81" w:rsidRPr="0043093E" w:rsidRDefault="009A7E81" w:rsidP="0043093E">
      <w:pPr>
        <w:pStyle w:val="JuPara"/>
        <w:rPr>
          <w:rFonts w:eastAsia="Times New Roman"/>
        </w:rPr>
      </w:pPr>
      <w:r>
        <w:rPr>
          <w:rFonts w:eastAsia="Times New Roman"/>
          <w:lang w:val="pl"/>
        </w:rPr>
        <w:fldChar w:fldCharType="begin"/>
      </w:r>
      <w:r>
        <w:rPr>
          <w:rFonts w:eastAsia="Times New Roman"/>
          <w:lang w:val="pl"/>
        </w:rPr>
        <w:instrText xml:space="preserve"> SEQ level0 \*arabic </w:instrText>
      </w:r>
      <w:r>
        <w:rPr>
          <w:rFonts w:eastAsia="Times New Roman"/>
          <w:lang w:val="pl"/>
        </w:rPr>
        <w:fldChar w:fldCharType="separate"/>
      </w:r>
      <w:r>
        <w:rPr>
          <w:rFonts w:eastAsia="Times New Roman"/>
          <w:noProof/>
          <w:lang w:val="pl"/>
        </w:rPr>
        <w:t>51</w:t>
      </w:r>
      <w:r>
        <w:rPr>
          <w:rFonts w:eastAsia="Times New Roman"/>
          <w:lang w:val="pl"/>
        </w:rPr>
        <w:fldChar w:fldCharType="end"/>
      </w:r>
      <w:r>
        <w:rPr>
          <w:rFonts w:eastAsia="Times New Roman"/>
          <w:lang w:val="pl"/>
        </w:rPr>
        <w:t xml:space="preserve">.  Skarżący zarzuca również, że zmiana legislacyjna dotycząca progu wymaganego do złożenia skargi kasacyjnej nastąpiła po zaistnieniu faktów danej sprawy i zauważa, że w niniejszej sprawie wyrok z dnia 17 stycznia 2013 r. wydany przez Sąd Najwyższy Madrytu wskazywał, że nie może być zaskarżany w drodze skargi kasacyjnej. </w:t>
      </w:r>
    </w:p>
    <w:p w14:paraId="1642748C" w14:textId="3BB98208" w:rsidR="009A7E81" w:rsidRPr="0043093E" w:rsidRDefault="009A7E81" w:rsidP="0043093E">
      <w:pPr>
        <w:pStyle w:val="JuPara"/>
        <w:rPr>
          <w:rFonts w:eastAsia="Times New Roman"/>
        </w:rPr>
      </w:pPr>
      <w:r>
        <w:rPr>
          <w:rFonts w:eastAsia="Times New Roman"/>
          <w:lang w:val="pl"/>
        </w:rPr>
        <w:fldChar w:fldCharType="begin"/>
      </w:r>
      <w:r>
        <w:rPr>
          <w:rFonts w:eastAsia="Times New Roman"/>
          <w:lang w:val="pl"/>
        </w:rPr>
        <w:instrText xml:space="preserve"> SEQ level0 \*arabic </w:instrText>
      </w:r>
      <w:r>
        <w:rPr>
          <w:rFonts w:eastAsia="Times New Roman"/>
          <w:lang w:val="pl"/>
        </w:rPr>
        <w:fldChar w:fldCharType="separate"/>
      </w:r>
      <w:r>
        <w:rPr>
          <w:rFonts w:eastAsia="Times New Roman"/>
          <w:noProof/>
          <w:lang w:val="pl"/>
        </w:rPr>
        <w:t>52</w:t>
      </w:r>
      <w:r>
        <w:rPr>
          <w:rFonts w:eastAsia="Times New Roman"/>
          <w:lang w:val="pl"/>
        </w:rPr>
        <w:fldChar w:fldCharType="end"/>
      </w:r>
      <w:r>
        <w:rPr>
          <w:rFonts w:eastAsia="Times New Roman"/>
          <w:lang w:val="pl"/>
        </w:rPr>
        <w:t>.  W odniesieniu do Trybunału Konstytucyjnego skarżący wskazuje również, że sąd najwyższy nie jest częścią hiszpańskiego wymiaru sprawiedliwości, a zatem jego działanie reguluje jego własna ustawa organiczna (LO 2/1979), a nie ustawa organiczna o sądownictwie (LO 6/1985). Nie jest więc kolejną instancją w piramidalnej strukturze sądów hiszpańskich, a jego kompetencje są ograniczone.</w:t>
      </w:r>
    </w:p>
    <w:p w14:paraId="0E7DCD2B" w14:textId="684C59DC"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53</w:t>
      </w:r>
      <w:r>
        <w:rPr>
          <w:lang w:val="pl"/>
        </w:rPr>
        <w:fldChar w:fldCharType="end"/>
      </w:r>
      <w:r>
        <w:rPr>
          <w:lang w:val="pl"/>
        </w:rPr>
        <w:t xml:space="preserve">.  Trybunał zauważa po pierwsze, że zgodnie z brzmieniem punktu 17 raportu wyjaśniającego do Protokołu nr 7 do Konwencji, organy władzy "które nie są sądami w rozumieniu artykułu 6 Konwencji" nie mogą być brane pod uwagę jako "sądy". Tak jest w przypadku podmiotu odpowiedzialnego za nałożenie grzywny w niniejszej sprawie, a mianowicie Dyrekcji Generalnej ds. Skarbu i Polityki Finansowej, która jest bezpośrednio zależna od Ministerstwa Gospodarki </w:t>
      </w:r>
      <w:r>
        <w:rPr>
          <w:i/>
          <w:iCs/>
          <w:lang w:val="pl"/>
        </w:rPr>
        <w:t>(Grecu</w:t>
      </w:r>
      <w:r>
        <w:rPr>
          <w:lang w:val="pl"/>
        </w:rPr>
        <w:t>, cyt. wyżej, § 83).</w:t>
      </w:r>
    </w:p>
    <w:p w14:paraId="0B34A7D7" w14:textId="04F5DFF2" w:rsidR="009A7E81" w:rsidRPr="0043093E" w:rsidRDefault="009A7E81" w:rsidP="0043093E">
      <w:pPr>
        <w:pStyle w:val="JuPara"/>
        <w:rPr>
          <w:rFonts w:eastAsia="Times New Roman"/>
        </w:rPr>
      </w:pPr>
      <w:r>
        <w:rPr>
          <w:rFonts w:eastAsia="Times New Roman"/>
          <w:lang w:val="pl"/>
        </w:rPr>
        <w:fldChar w:fldCharType="begin"/>
      </w:r>
      <w:r>
        <w:rPr>
          <w:rFonts w:eastAsia="Times New Roman"/>
          <w:lang w:val="pl"/>
        </w:rPr>
        <w:instrText xml:space="preserve"> SEQ level0 \*arabic </w:instrText>
      </w:r>
      <w:r>
        <w:rPr>
          <w:rFonts w:eastAsia="Times New Roman"/>
          <w:lang w:val="pl"/>
        </w:rPr>
        <w:fldChar w:fldCharType="separate"/>
      </w:r>
      <w:r>
        <w:rPr>
          <w:rFonts w:eastAsia="Times New Roman"/>
          <w:noProof/>
          <w:lang w:val="pl"/>
        </w:rPr>
        <w:t>54</w:t>
      </w:r>
      <w:r>
        <w:rPr>
          <w:rFonts w:eastAsia="Times New Roman"/>
          <w:lang w:val="pl"/>
        </w:rPr>
        <w:fldChar w:fldCharType="end"/>
      </w:r>
      <w:r>
        <w:rPr>
          <w:rFonts w:eastAsia="Times New Roman"/>
          <w:lang w:val="pl"/>
        </w:rPr>
        <w:t xml:space="preserve">.  Ponadto, w odniesieniu do roli Trybunału Konstytucyjnego, Trybunał zauważa, że o ile zgodnie z pkt 18 raportu wyjaśniającego można uznać, że sądy apelacyjne lub kasacyjne mogą spełniać wymogi „drugiego poziomu jurysdykcji", o tyle nie wspomina się o sądach konstytucyjnych. Konieczne </w:t>
      </w:r>
      <w:r>
        <w:rPr>
          <w:rFonts w:eastAsia="Times New Roman"/>
          <w:lang w:val="pl"/>
        </w:rPr>
        <w:lastRenderedPageBreak/>
        <w:t xml:space="preserve">będzie zatem zbadanie roli sądu najwyższego w tej sprawie oraz charakteru kontroli przeprowadzonej w ramach skargi </w:t>
      </w:r>
      <w:proofErr w:type="spellStart"/>
      <w:r>
        <w:rPr>
          <w:rFonts w:eastAsia="Times New Roman"/>
          <w:i/>
          <w:iCs/>
          <w:lang w:val="pl"/>
        </w:rPr>
        <w:t>amparo</w:t>
      </w:r>
      <w:proofErr w:type="spellEnd"/>
      <w:r>
        <w:rPr>
          <w:rFonts w:eastAsia="Times New Roman"/>
          <w:lang w:val="pl"/>
        </w:rPr>
        <w:t>.</w:t>
      </w:r>
    </w:p>
    <w:p w14:paraId="7E17A5F0" w14:textId="49E5E7E3" w:rsidR="009A7E81" w:rsidRPr="0043093E" w:rsidRDefault="009A7E81" w:rsidP="0043093E">
      <w:pPr>
        <w:pStyle w:val="JuPara"/>
        <w:rPr>
          <w:rFonts w:eastAsia="Times New Roman"/>
        </w:rPr>
      </w:pPr>
      <w:r>
        <w:rPr>
          <w:rFonts w:eastAsia="Times New Roman"/>
          <w:lang w:val="pl"/>
        </w:rPr>
        <w:fldChar w:fldCharType="begin"/>
      </w:r>
      <w:r>
        <w:rPr>
          <w:rFonts w:eastAsia="Times New Roman"/>
          <w:lang w:val="pl"/>
        </w:rPr>
        <w:instrText xml:space="preserve"> SEQ level0 \*arabic </w:instrText>
      </w:r>
      <w:r>
        <w:rPr>
          <w:rFonts w:eastAsia="Times New Roman"/>
          <w:lang w:val="pl"/>
        </w:rPr>
        <w:fldChar w:fldCharType="separate"/>
      </w:r>
      <w:r>
        <w:rPr>
          <w:rFonts w:eastAsia="Times New Roman"/>
          <w:noProof/>
          <w:lang w:val="pl"/>
        </w:rPr>
        <w:t>55</w:t>
      </w:r>
      <w:r>
        <w:rPr>
          <w:rFonts w:eastAsia="Times New Roman"/>
          <w:lang w:val="pl"/>
        </w:rPr>
        <w:fldChar w:fldCharType="end"/>
      </w:r>
      <w:r>
        <w:rPr>
          <w:rFonts w:eastAsia="Times New Roman"/>
          <w:lang w:val="pl"/>
        </w:rPr>
        <w:t xml:space="preserve">.  Trybunał zauważył, że w prawie hiszpańskim kompetencja do badania zwykłej legalności jest zastrzeżona dla sądów wchodzących w skład władzy sądowniczej (w tym sądów apelacyjnych lub kasacyjnych). Zgodnie z art. 53 § 2 Konstytucji, gdy Trybunał Konstytucyjny jest powołany do orzekania w sprawie skargi </w:t>
      </w:r>
      <w:proofErr w:type="spellStart"/>
      <w:r>
        <w:rPr>
          <w:rFonts w:eastAsia="Times New Roman"/>
          <w:i/>
          <w:iCs/>
          <w:lang w:val="pl"/>
        </w:rPr>
        <w:t>amparo</w:t>
      </w:r>
      <w:proofErr w:type="spellEnd"/>
      <w:r>
        <w:rPr>
          <w:rFonts w:eastAsia="Times New Roman"/>
          <w:lang w:val="pl"/>
        </w:rPr>
        <w:t xml:space="preserve">, może sprawdzić, czy decyzje administracyjne lub sądowe w danej sprawie były zgodne z prawami podstawowymi zagwarantowanymi przez art. 14-30 Konstytucji. W szczególności, w przypadku skarg konstytucyjnych </w:t>
      </w:r>
      <w:proofErr w:type="spellStart"/>
      <w:r>
        <w:rPr>
          <w:rFonts w:eastAsia="Times New Roman"/>
          <w:i/>
          <w:iCs/>
          <w:lang w:val="pl"/>
        </w:rPr>
        <w:t>amparo</w:t>
      </w:r>
      <w:proofErr w:type="spellEnd"/>
      <w:r>
        <w:rPr>
          <w:rFonts w:eastAsia="Times New Roman"/>
          <w:i/>
          <w:iCs/>
          <w:lang w:val="pl"/>
        </w:rPr>
        <w:t xml:space="preserve"> </w:t>
      </w:r>
      <w:r>
        <w:rPr>
          <w:rFonts w:eastAsia="Times New Roman"/>
          <w:lang w:val="pl"/>
        </w:rPr>
        <w:t>wniesionych, tak jak w niniejszej sprawie, przeciwko orzeczeniu sądowemu, art. 54 ustawy organicznej o Trybunale Konstytucyjnym ("LOTC") ogranicza funkcję sądu najwyższego do oceny, czy prawa lub wolności skarżącego zostały naruszone oraz do zachowania lub przywrócenia tych praw lub wolności. Przepis ten określa, że Trybunał powinien powstrzymać się od dalszego rozpatrywania czynności innych organów sądowych.</w:t>
      </w:r>
    </w:p>
    <w:p w14:paraId="6C45E949" w14:textId="765BF8EB" w:rsidR="009A7E81" w:rsidRPr="0043093E" w:rsidRDefault="009A7E81" w:rsidP="0043093E">
      <w:pPr>
        <w:pStyle w:val="JuPara"/>
        <w:rPr>
          <w:rFonts w:eastAsia="Times New Roman"/>
        </w:rPr>
      </w:pPr>
      <w:r>
        <w:rPr>
          <w:rFonts w:eastAsia="Times New Roman"/>
          <w:lang w:val="pl"/>
        </w:rPr>
        <w:fldChar w:fldCharType="begin"/>
      </w:r>
      <w:r>
        <w:rPr>
          <w:rFonts w:eastAsia="Times New Roman"/>
          <w:lang w:val="pl"/>
        </w:rPr>
        <w:instrText xml:space="preserve"> SEQ level0 \*arabic </w:instrText>
      </w:r>
      <w:r>
        <w:rPr>
          <w:rFonts w:eastAsia="Times New Roman"/>
          <w:lang w:val="pl"/>
        </w:rPr>
        <w:fldChar w:fldCharType="separate"/>
      </w:r>
      <w:r>
        <w:rPr>
          <w:rFonts w:eastAsia="Times New Roman"/>
          <w:noProof/>
          <w:lang w:val="pl"/>
        </w:rPr>
        <w:t>56</w:t>
      </w:r>
      <w:r>
        <w:rPr>
          <w:rFonts w:eastAsia="Times New Roman"/>
          <w:lang w:val="pl"/>
        </w:rPr>
        <w:fldChar w:fldCharType="end"/>
      </w:r>
      <w:r>
        <w:rPr>
          <w:rFonts w:eastAsia="Times New Roman"/>
          <w:lang w:val="pl"/>
        </w:rPr>
        <w:t xml:space="preserve">.  Trybunał Konstytucyjny w swoim orzecznictwie wyraźnie zaznaczył, że nie został powołany do usuwania naruszeń prawa, ale do przywracania i ochrony praw podstawowych gwarantowanych przez art. 53 § 2, gdy istnieje konkretny i skuteczny zarzut ich naruszenia. Zarzut naruszenia przepisu konstytucyjnego jest warunkiem koniecznym, ale nie wystarczającym. Innymi słowy, środek prawny skarga konstytucyjna </w:t>
      </w:r>
      <w:proofErr w:type="spellStart"/>
      <w:r>
        <w:rPr>
          <w:rFonts w:eastAsia="Times New Roman"/>
          <w:i/>
          <w:iCs/>
          <w:lang w:val="pl"/>
        </w:rPr>
        <w:t>amparo</w:t>
      </w:r>
      <w:proofErr w:type="spellEnd"/>
      <w:r>
        <w:rPr>
          <w:rFonts w:eastAsia="Times New Roman"/>
          <w:i/>
          <w:iCs/>
          <w:lang w:val="pl"/>
        </w:rPr>
        <w:t xml:space="preserve"> </w:t>
      </w:r>
      <w:r>
        <w:rPr>
          <w:rFonts w:eastAsia="Times New Roman"/>
          <w:lang w:val="pl"/>
        </w:rPr>
        <w:t xml:space="preserve">nie może być utożsamiany ze skargą kasacyjną w interesie prawa </w:t>
      </w:r>
      <w:r>
        <w:rPr>
          <w:rFonts w:eastAsia="Times New Roman"/>
          <w:i/>
          <w:iCs/>
          <w:lang w:val="pl"/>
        </w:rPr>
        <w:t>(</w:t>
      </w:r>
      <w:proofErr w:type="spellStart"/>
      <w:r>
        <w:rPr>
          <w:rFonts w:eastAsia="Times New Roman"/>
          <w:i/>
          <w:iCs/>
          <w:lang w:val="pl"/>
        </w:rPr>
        <w:t>casación</w:t>
      </w:r>
      <w:proofErr w:type="spellEnd"/>
      <w:r>
        <w:rPr>
          <w:rFonts w:eastAsia="Times New Roman"/>
          <w:i/>
          <w:iCs/>
          <w:lang w:val="pl"/>
        </w:rPr>
        <w:t xml:space="preserve"> en </w:t>
      </w:r>
      <w:proofErr w:type="spellStart"/>
      <w:r>
        <w:rPr>
          <w:rFonts w:eastAsia="Times New Roman"/>
          <w:i/>
          <w:iCs/>
          <w:lang w:val="pl"/>
        </w:rPr>
        <w:t>interés</w:t>
      </w:r>
      <w:proofErr w:type="spellEnd"/>
      <w:r>
        <w:rPr>
          <w:rFonts w:eastAsia="Times New Roman"/>
          <w:i/>
          <w:iCs/>
          <w:lang w:val="pl"/>
        </w:rPr>
        <w:t xml:space="preserve"> de </w:t>
      </w:r>
      <w:proofErr w:type="spellStart"/>
      <w:r>
        <w:rPr>
          <w:rFonts w:eastAsia="Times New Roman"/>
          <w:i/>
          <w:iCs/>
          <w:lang w:val="pl"/>
        </w:rPr>
        <w:t>ley</w:t>
      </w:r>
      <w:proofErr w:type="spellEnd"/>
      <w:r>
        <w:rPr>
          <w:rFonts w:eastAsia="Times New Roman"/>
          <w:lang w:val="pl"/>
        </w:rPr>
        <w:t>) (orzeczenie Zgromadzenia Plenarnego Trybunału Konstytucyjnego z 6 lipca 1995 r.).</w:t>
      </w:r>
    </w:p>
    <w:p w14:paraId="51139486" w14:textId="5F6076F6" w:rsidR="009A7E81" w:rsidRPr="0043093E" w:rsidRDefault="009A7E81" w:rsidP="0043093E">
      <w:pPr>
        <w:pStyle w:val="JuPara"/>
        <w:rPr>
          <w:rFonts w:eastAsia="Times New Roman"/>
        </w:rPr>
      </w:pPr>
      <w:r>
        <w:rPr>
          <w:lang w:val="pl"/>
        </w:rPr>
        <w:fldChar w:fldCharType="begin"/>
      </w:r>
      <w:r>
        <w:rPr>
          <w:lang w:val="pl"/>
        </w:rPr>
        <w:instrText xml:space="preserve"> SEQ level0 \*arabic </w:instrText>
      </w:r>
      <w:r>
        <w:rPr>
          <w:lang w:val="pl"/>
        </w:rPr>
        <w:fldChar w:fldCharType="separate"/>
      </w:r>
      <w:r>
        <w:rPr>
          <w:noProof/>
          <w:lang w:val="pl"/>
        </w:rPr>
        <w:t>57</w:t>
      </w:r>
      <w:r>
        <w:rPr>
          <w:lang w:val="pl"/>
        </w:rPr>
        <w:fldChar w:fldCharType="end"/>
      </w:r>
      <w:r>
        <w:rPr>
          <w:lang w:val="pl"/>
        </w:rPr>
        <w:t xml:space="preserve">.  W świetle uprawnień przyznanych Trybunałowi Konstytucyjnemu w postępowaniu </w:t>
      </w:r>
      <w:proofErr w:type="spellStart"/>
      <w:r>
        <w:rPr>
          <w:i/>
          <w:iCs/>
          <w:lang w:val="pl"/>
        </w:rPr>
        <w:t>amparo</w:t>
      </w:r>
      <w:proofErr w:type="spellEnd"/>
      <w:r>
        <w:rPr>
          <w:lang w:val="pl"/>
        </w:rPr>
        <w:t xml:space="preserve">, Trybunał jest zdania, że sąd ten nie może być uznany za drugą instancję w rozumieniu art. 2 Protokołu nr 7. W związku z tym jedynym organem sądowym, który zajmował się stanem faktycznym w niniejszej sprawie, jest Sąd Najwyższy w Madrycie w wyroku z dnia 17 stycznia 2013 roku (zob. </w:t>
      </w:r>
      <w:r>
        <w:rPr>
          <w:i/>
          <w:iCs/>
          <w:lang w:val="pl"/>
        </w:rPr>
        <w:t>mutatis mutandis</w:t>
      </w:r>
      <w:r>
        <w:rPr>
          <w:lang w:val="pl"/>
        </w:rPr>
        <w:t>,</w:t>
      </w:r>
      <w:r>
        <w:rPr>
          <w:i/>
          <w:iCs/>
          <w:lang w:val="pl"/>
        </w:rPr>
        <w:t xml:space="preserve"> Grecu</w:t>
      </w:r>
      <w:r>
        <w:rPr>
          <w:lang w:val="pl"/>
        </w:rPr>
        <w:t>, cytowany powyżej, § 83).</w:t>
      </w:r>
    </w:p>
    <w:p w14:paraId="7735AE05" w14:textId="42A13603" w:rsidR="009A7E81" w:rsidRPr="0043093E" w:rsidRDefault="009A7E81" w:rsidP="0043093E">
      <w:pPr>
        <w:pStyle w:val="JuPara"/>
        <w:rPr>
          <w:rFonts w:eastAsia="Times New Roman"/>
        </w:rPr>
      </w:pPr>
      <w:r>
        <w:rPr>
          <w:rFonts w:eastAsia="Times New Roman"/>
          <w:lang w:val="pl"/>
        </w:rPr>
        <w:fldChar w:fldCharType="begin"/>
      </w:r>
      <w:r>
        <w:rPr>
          <w:rFonts w:eastAsia="Times New Roman"/>
          <w:lang w:val="pl"/>
        </w:rPr>
        <w:instrText xml:space="preserve"> SEQ level0 \*arabic </w:instrText>
      </w:r>
      <w:r>
        <w:rPr>
          <w:rFonts w:eastAsia="Times New Roman"/>
          <w:lang w:val="pl"/>
        </w:rPr>
        <w:fldChar w:fldCharType="separate"/>
      </w:r>
      <w:r>
        <w:rPr>
          <w:rFonts w:eastAsia="Times New Roman"/>
          <w:noProof/>
          <w:lang w:val="pl"/>
        </w:rPr>
        <w:t>58</w:t>
      </w:r>
      <w:r>
        <w:rPr>
          <w:rFonts w:eastAsia="Times New Roman"/>
          <w:lang w:val="pl"/>
        </w:rPr>
        <w:fldChar w:fldCharType="end"/>
      </w:r>
      <w:r>
        <w:rPr>
          <w:rFonts w:eastAsia="Times New Roman"/>
          <w:lang w:val="pl"/>
        </w:rPr>
        <w:t>.  Wyrok ten miał charakter ostateczny z uwagi na zmianę legislacyjną, która nastąpiła po zaistnieniu faktów będących obiektem skargi sądowej. W tym względzie Trybunał zauważa, że zgodnie z końcowym przepisem ustawy nr 37/2011 z dnia 10 października 2011 r. o środkach przyspieszających postępowanie, weszła ona w życie dwadzieścia dni po jej opublikowaniu w Dzienniku Urzędowym. Zauważa również, że zgodnie z przepisem przejściowym tej ustawy, do postępowań toczących się w chwili wejścia w życie tej ustawy - jak postępowanie w niniejszej sprawie - stosuje się przepisy dotychczasowe do czasu wydania orzeczenia przez właściwy sąd.</w:t>
      </w:r>
    </w:p>
    <w:p w14:paraId="6161F1BF" w14:textId="7AEC9B16" w:rsidR="009A7E81" w:rsidRPr="0043093E" w:rsidRDefault="009A7E81" w:rsidP="0043093E">
      <w:pPr>
        <w:pStyle w:val="JuPara"/>
        <w:rPr>
          <w:rFonts w:eastAsia="Times New Roman"/>
        </w:rPr>
      </w:pPr>
      <w:r>
        <w:rPr>
          <w:rFonts w:eastAsia="Times New Roman"/>
          <w:lang w:val="pl"/>
        </w:rPr>
        <w:fldChar w:fldCharType="begin"/>
      </w:r>
      <w:r>
        <w:rPr>
          <w:rFonts w:eastAsia="Times New Roman"/>
          <w:lang w:val="pl"/>
        </w:rPr>
        <w:instrText xml:space="preserve"> SEQ level0 \*arabic </w:instrText>
      </w:r>
      <w:r>
        <w:rPr>
          <w:rFonts w:eastAsia="Times New Roman"/>
          <w:lang w:val="pl"/>
        </w:rPr>
        <w:fldChar w:fldCharType="separate"/>
      </w:r>
      <w:r>
        <w:rPr>
          <w:rFonts w:eastAsia="Times New Roman"/>
          <w:noProof/>
          <w:lang w:val="pl"/>
        </w:rPr>
        <w:t>59</w:t>
      </w:r>
      <w:r>
        <w:rPr>
          <w:rFonts w:eastAsia="Times New Roman"/>
          <w:lang w:val="pl"/>
        </w:rPr>
        <w:fldChar w:fldCharType="end"/>
      </w:r>
      <w:r>
        <w:rPr>
          <w:rFonts w:eastAsia="Times New Roman"/>
          <w:lang w:val="pl"/>
        </w:rPr>
        <w:t xml:space="preserve">.  Trybunał zauważył, że skarga o charakterze administracyjnym złożona przez zainteresowaną osobę była w toku postępowania w momencie zmiany legislacyjnej. W związku z tym nowe brzmienie art. 86 ust. 2 lit. b) </w:t>
      </w:r>
      <w:r>
        <w:rPr>
          <w:rFonts w:eastAsia="Times New Roman"/>
          <w:lang w:val="pl"/>
        </w:rPr>
        <w:lastRenderedPageBreak/>
        <w:t>ustawy nr 29/1998 miało zastosowanie od dnia ogłoszenia wyroku Sądu Najwyższego w Madrycie z dnia 17 stycznia 2013 r.</w:t>
      </w:r>
    </w:p>
    <w:p w14:paraId="05841703" w14:textId="12DA5D05" w:rsidR="009A7E81" w:rsidRPr="0043093E" w:rsidRDefault="009A7E81" w:rsidP="0043093E">
      <w:pPr>
        <w:pStyle w:val="JuPara"/>
        <w:rPr>
          <w:rFonts w:eastAsia="Times New Roman"/>
        </w:rPr>
      </w:pPr>
      <w:r>
        <w:rPr>
          <w:rFonts w:eastAsia="Times New Roman"/>
          <w:lang w:val="pl"/>
        </w:rPr>
        <w:fldChar w:fldCharType="begin"/>
      </w:r>
      <w:r>
        <w:rPr>
          <w:rFonts w:eastAsia="Times New Roman"/>
          <w:lang w:val="pl"/>
        </w:rPr>
        <w:instrText xml:space="preserve"> SEQ level0 \*arabic </w:instrText>
      </w:r>
      <w:r>
        <w:rPr>
          <w:rFonts w:eastAsia="Times New Roman"/>
          <w:lang w:val="pl"/>
        </w:rPr>
        <w:fldChar w:fldCharType="separate"/>
      </w:r>
      <w:r>
        <w:rPr>
          <w:rFonts w:eastAsia="Times New Roman"/>
          <w:noProof/>
          <w:lang w:val="pl"/>
        </w:rPr>
        <w:t>60</w:t>
      </w:r>
      <w:r>
        <w:rPr>
          <w:rFonts w:eastAsia="Times New Roman"/>
          <w:lang w:val="pl"/>
        </w:rPr>
        <w:fldChar w:fldCharType="end"/>
      </w:r>
      <w:r>
        <w:rPr>
          <w:rFonts w:eastAsia="Times New Roman"/>
          <w:lang w:val="pl"/>
        </w:rPr>
        <w:t>.  Trybunał jest zdania, że choć zgodne z prawem, te ograniczenia prawa skarżącego do skargi uniemożliwiły mu kontrolę jego skazania przez sąd wyższej instancji i podważyły samą istotę prawa zagwarantowanego w art. 2 Protokołu nr 7, przekraczając margines oceny przysługujący Państwom w odniesieniu do tego przepisu.</w:t>
      </w:r>
    </w:p>
    <w:p w14:paraId="377393C6" w14:textId="0999E4BE" w:rsidR="009A7E81" w:rsidRPr="0043093E" w:rsidRDefault="009A7E81" w:rsidP="0043093E">
      <w:pPr>
        <w:pStyle w:val="JuPara"/>
        <w:rPr>
          <w:rFonts w:eastAsia="Times New Roman"/>
        </w:rPr>
      </w:pPr>
      <w:r>
        <w:rPr>
          <w:lang w:val="pl"/>
        </w:rPr>
        <w:fldChar w:fldCharType="begin"/>
      </w:r>
      <w:r>
        <w:rPr>
          <w:lang w:val="pl"/>
        </w:rPr>
        <w:instrText xml:space="preserve"> SEQ level0 \*arabic </w:instrText>
      </w:r>
      <w:r>
        <w:rPr>
          <w:lang w:val="pl"/>
        </w:rPr>
        <w:fldChar w:fldCharType="separate"/>
      </w:r>
      <w:r>
        <w:rPr>
          <w:noProof/>
          <w:lang w:val="pl"/>
        </w:rPr>
        <w:t>61</w:t>
      </w:r>
      <w:r>
        <w:rPr>
          <w:lang w:val="pl"/>
        </w:rPr>
        <w:fldChar w:fldCharType="end"/>
      </w:r>
      <w:r>
        <w:rPr>
          <w:lang w:val="pl"/>
        </w:rPr>
        <w:t>.  W świetle wszystkich szczególnych okoliczności sprawy, w tym surowości sankcji nałożonej na skarżącego, braku zbadania jego osobistych okoliczności przez władze krajowe oraz braku wyższej instancji, Trybunał stwierdza, że doszło do naruszenia artykułu 2 Protokołu nr 7 do Konwencji.</w:t>
      </w:r>
    </w:p>
    <w:p w14:paraId="67F8E9EB" w14:textId="1F5D3933" w:rsidR="009A7E81" w:rsidRPr="0043093E" w:rsidRDefault="009A7E81" w:rsidP="0043093E">
      <w:pPr>
        <w:pStyle w:val="JuHIRoman"/>
      </w:pPr>
      <w:r>
        <w:rPr>
          <w:bCs w:val="0"/>
          <w:lang w:val="pl"/>
        </w:rPr>
        <w:t>W SPRAWIE STOSOWANIA ARTYKUŁU 41 KONWENCJI</w:t>
      </w:r>
    </w:p>
    <w:p w14:paraId="5332D827" w14:textId="72BBDA88"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62</w:t>
      </w:r>
      <w:r>
        <w:rPr>
          <w:lang w:val="pl"/>
        </w:rPr>
        <w:fldChar w:fldCharType="end"/>
      </w:r>
      <w:r>
        <w:rPr>
          <w:lang w:val="pl"/>
        </w:rPr>
        <w:t>.  Zgodnie z art. 41 Konwencji,</w:t>
      </w:r>
    </w:p>
    <w:p w14:paraId="609B2CB4" w14:textId="0BA1CD42" w:rsidR="009A7E81" w:rsidRPr="0043093E" w:rsidRDefault="009A7E81" w:rsidP="0043093E">
      <w:pPr>
        <w:pStyle w:val="JuQuot"/>
      </w:pPr>
      <w:r>
        <w:rPr>
          <w:lang w:val="pl"/>
        </w:rPr>
        <w:t>"Jeżeli Trybunał stwierdzi, że nastąpiło naruszenie Konwencji lub jej Protokołów, i jeżeli prawo krajowe Wysokiej Umawiającej się Strony pozwala tylko na częściowe zadośćuczynienie skutkom tego naruszenia, Trybunał, jeżeli ma to miejsce, przyzna słuszne zadośćuczynienie stronie pokrzywdzonej"</w:t>
      </w:r>
    </w:p>
    <w:p w14:paraId="3C0EDBBE" w14:textId="77777777" w:rsidR="009A7E81" w:rsidRPr="0043093E" w:rsidRDefault="009A7E81" w:rsidP="0043093E">
      <w:pPr>
        <w:pStyle w:val="JuHA"/>
      </w:pPr>
      <w:r>
        <w:rPr>
          <w:lang w:val="pl"/>
        </w:rPr>
        <w:t>Szkody</w:t>
      </w:r>
    </w:p>
    <w:p w14:paraId="2110E683" w14:textId="2386F860"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63</w:t>
      </w:r>
      <w:r>
        <w:rPr>
          <w:lang w:val="pl"/>
        </w:rPr>
        <w:fldChar w:fldCharType="end"/>
      </w:r>
      <w:r>
        <w:rPr>
          <w:lang w:val="pl"/>
        </w:rPr>
        <w:t>.  Na dzień 15 grudnia 2014 r. skarżący domaga się łącznie 153 200 euro tytułem poniesionej przez niego szkody materialnej, przy czym kwota ta odpowiada różnicy między zajętą kwotą a minimalną grzywną w wysokości 600 euro przewidzianą w każdym razie przez obowiązujące prawo za poważne naruszenia.</w:t>
      </w:r>
    </w:p>
    <w:p w14:paraId="2067E4F1" w14:textId="0EC23068"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64</w:t>
      </w:r>
      <w:r>
        <w:rPr>
          <w:lang w:val="pl"/>
        </w:rPr>
        <w:fldChar w:fldCharType="end"/>
      </w:r>
      <w:r>
        <w:rPr>
          <w:lang w:val="pl"/>
        </w:rPr>
        <w:t>.  Ponadto, tytułem krzywdy niemajątkowej, którą uważa za poniesioną, skarżący domaga się również 13.788 euro za każdy rok, który upłynął pomiędzy zaskarżonym zajęciem a wydaniem wyroku przez Trybunał. Z tego tytułu domaga się on łącznie kwoty 124 092 EUR, w oparciu o zastosowanie rocznej stopy procentowej w wysokości 9 % od pierwotnej kwoty żądanej z tytułu szkody materialnej (153 200 EUR).</w:t>
      </w:r>
    </w:p>
    <w:p w14:paraId="4CC6B19D" w14:textId="2C238709"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65</w:t>
      </w:r>
      <w:r>
        <w:rPr>
          <w:lang w:val="pl"/>
        </w:rPr>
        <w:fldChar w:fldCharType="end"/>
      </w:r>
      <w:r>
        <w:rPr>
          <w:lang w:val="pl"/>
        </w:rPr>
        <w:t>.  Rząd kwestionuje te kwoty. Podniósł, że nie ma związku przyczynowego między zarzucanym naruszeniem a rzekomą szkodą i stwierdził, że stwierdzenie naruszenia powołanego przepisu nie oznacza w ogóle, że w przypadku kontroli przez drugą instancję skarżący zostałby uniewinniony, a nałożona kara uchylona. Rząd zwrócił się zatem do Trybunału o uznanie, że samo stwierdzenie naruszenia stanowiło wystarczające zadośćuczynienie.</w:t>
      </w:r>
    </w:p>
    <w:p w14:paraId="7D98B97C" w14:textId="53630D65"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66</w:t>
      </w:r>
      <w:r>
        <w:rPr>
          <w:lang w:val="pl"/>
        </w:rPr>
        <w:fldChar w:fldCharType="end"/>
      </w:r>
      <w:r>
        <w:rPr>
          <w:lang w:val="pl"/>
        </w:rPr>
        <w:t xml:space="preserve">.  Trybunał zauważa, że jedyną podstawą do przyznania słusznego zadośćuczynienia w niniejszej sprawie jest fakt, że skarżący nie mógł korzystać z gwarancji Artykułu 2 Protokołu nr 7 do Konwencji. Trybunał nie może spekulować, jaki byłby wynik procesu, ale nie uważa za nieuzasadnione </w:t>
      </w:r>
      <w:r>
        <w:rPr>
          <w:lang w:val="pl"/>
        </w:rPr>
        <w:lastRenderedPageBreak/>
        <w:t xml:space="preserve">założenie, że skarżący doznał rzeczywistej utraty szansy i szkody niemajątkowej, której ustalenia dotyczące naruszenia zawarte w niniejszym wyroku nie są wystarczające do jej naprawienia </w:t>
      </w:r>
      <w:r>
        <w:rPr>
          <w:i/>
          <w:iCs/>
          <w:lang w:val="pl"/>
        </w:rPr>
        <w:t>(zob. Grecu przeciwko Rumunii</w:t>
      </w:r>
      <w:r>
        <w:rPr>
          <w:lang w:val="pl"/>
        </w:rPr>
        <w:t>, nr 75101/01, § 90, 30 listopada 2006 r.).</w:t>
      </w:r>
    </w:p>
    <w:p w14:paraId="6710C800" w14:textId="5014922E"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67</w:t>
      </w:r>
      <w:r>
        <w:rPr>
          <w:lang w:val="pl"/>
        </w:rPr>
        <w:fldChar w:fldCharType="end"/>
      </w:r>
      <w:r>
        <w:rPr>
          <w:lang w:val="pl"/>
        </w:rPr>
        <w:t>.  Uważa, że najwłaściwszą formą zadośćuczynienia jest przywrócenie skarżącego w jak największym stopniu do pozycji, w jakiej znajdowałby się, gdyby nie doszło do naruszenia artykułu 2 Protokołu nr 7</w:t>
      </w:r>
      <w:r>
        <w:rPr>
          <w:i/>
          <w:iCs/>
          <w:lang w:val="pl"/>
        </w:rPr>
        <w:t>(</w:t>
      </w:r>
      <w:proofErr w:type="spellStart"/>
      <w:r>
        <w:rPr>
          <w:i/>
          <w:iCs/>
          <w:lang w:val="pl"/>
        </w:rPr>
        <w:t>Atutxa</w:t>
      </w:r>
      <w:proofErr w:type="spellEnd"/>
      <w:r>
        <w:rPr>
          <w:i/>
          <w:iCs/>
          <w:lang w:val="pl"/>
        </w:rPr>
        <w:t xml:space="preserve"> </w:t>
      </w:r>
      <w:proofErr w:type="spellStart"/>
      <w:r>
        <w:rPr>
          <w:i/>
          <w:iCs/>
          <w:lang w:val="pl"/>
        </w:rPr>
        <w:t>Mendiola</w:t>
      </w:r>
      <w:proofErr w:type="spellEnd"/>
      <w:r>
        <w:rPr>
          <w:i/>
          <w:iCs/>
          <w:lang w:val="pl"/>
        </w:rPr>
        <w:t xml:space="preserve"> i inni przeciwko Hiszpanii</w:t>
      </w:r>
      <w:r>
        <w:rPr>
          <w:lang w:val="pl"/>
        </w:rPr>
        <w:t xml:space="preserve">, nr 41427/14, §§ 50-52, 13 czerwca 2017 r.). </w:t>
      </w:r>
      <w:proofErr w:type="spellStart"/>
      <w:r>
        <w:rPr>
          <w:i/>
          <w:iCs/>
          <w:lang w:val="pl"/>
        </w:rPr>
        <w:t>Tétériny</w:t>
      </w:r>
      <w:proofErr w:type="spellEnd"/>
      <w:r>
        <w:rPr>
          <w:i/>
          <w:iCs/>
          <w:lang w:val="pl"/>
        </w:rPr>
        <w:t xml:space="preserve"> przeciwko Rosji</w:t>
      </w:r>
      <w:r>
        <w:rPr>
          <w:lang w:val="pl"/>
        </w:rPr>
        <w:t xml:space="preserve">, nr 11931/03, § 56, 30 czerwca 2005 r., </w:t>
      </w:r>
      <w:proofErr w:type="spellStart"/>
      <w:r>
        <w:rPr>
          <w:i/>
          <w:iCs/>
          <w:lang w:val="pl"/>
        </w:rPr>
        <w:t>Jeličić</w:t>
      </w:r>
      <w:proofErr w:type="spellEnd"/>
      <w:r>
        <w:rPr>
          <w:i/>
          <w:iCs/>
          <w:lang w:val="pl"/>
        </w:rPr>
        <w:t xml:space="preserve"> przeciwko Bośni i Hercegowinie</w:t>
      </w:r>
      <w:r>
        <w:rPr>
          <w:lang w:val="pl"/>
        </w:rPr>
        <w:t xml:space="preserve">, nr 41183/02, § 53, ETPC 2006-XII, oraz </w:t>
      </w:r>
      <w:proofErr w:type="spellStart"/>
      <w:r>
        <w:rPr>
          <w:i/>
          <w:iCs/>
          <w:lang w:val="pl"/>
        </w:rPr>
        <w:t>Mehmet</w:t>
      </w:r>
      <w:proofErr w:type="spellEnd"/>
      <w:r>
        <w:rPr>
          <w:i/>
          <w:iCs/>
          <w:lang w:val="pl"/>
        </w:rPr>
        <w:t xml:space="preserve"> i Suna </w:t>
      </w:r>
      <w:proofErr w:type="spellStart"/>
      <w:r>
        <w:rPr>
          <w:i/>
          <w:iCs/>
          <w:lang w:val="pl"/>
        </w:rPr>
        <w:t>Yiğit</w:t>
      </w:r>
      <w:proofErr w:type="spellEnd"/>
      <w:r>
        <w:rPr>
          <w:i/>
          <w:iCs/>
          <w:lang w:val="pl"/>
        </w:rPr>
        <w:t xml:space="preserve"> przeciwko Turcji</w:t>
      </w:r>
      <w:r>
        <w:rPr>
          <w:lang w:val="pl"/>
        </w:rPr>
        <w:t>, nr 52658/99, § 47, 17 lipca 2007 r.). Uważa, że zasada ta ma zastosowanie w tym przypadku.</w:t>
      </w:r>
    </w:p>
    <w:p w14:paraId="09D58EE1" w14:textId="4DE03089"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68</w:t>
      </w:r>
      <w:r>
        <w:rPr>
          <w:lang w:val="pl"/>
        </w:rPr>
        <w:fldChar w:fldCharType="end"/>
      </w:r>
      <w:r>
        <w:rPr>
          <w:lang w:val="pl"/>
        </w:rPr>
        <w:t>.  Ponadto, mając na uwadze okoliczności sprawy i orzekając na zasadzie słuszności, zgodnie z wymogami artykułu 41 Konwencji, Trybunał uważa za stosowne przyznać skarżącemu kwotę 9.600 euro z tytułu szkody niemajątkowej.</w:t>
      </w:r>
    </w:p>
    <w:p w14:paraId="60D71046" w14:textId="77777777" w:rsidR="009A7E81" w:rsidRPr="0043093E" w:rsidRDefault="009A7E81" w:rsidP="0043093E">
      <w:pPr>
        <w:pStyle w:val="JuHA"/>
      </w:pPr>
      <w:r>
        <w:rPr>
          <w:lang w:val="pl"/>
        </w:rPr>
        <w:t>Koszty i wydatki</w:t>
      </w:r>
    </w:p>
    <w:p w14:paraId="359832A9" w14:textId="64F78A22"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69</w:t>
      </w:r>
      <w:r>
        <w:rPr>
          <w:lang w:val="pl"/>
        </w:rPr>
        <w:fldChar w:fldCharType="end"/>
      </w:r>
      <w:r>
        <w:rPr>
          <w:lang w:val="pl"/>
        </w:rPr>
        <w:t>.  Skarżący domaga się również 20.678,73 euro tytułem kosztów i wydatków poniesionych przed sądami krajowymi oraz 3.000 euro tytułem kosztów i wydatków poniesionych przed Trybunałem.</w:t>
      </w:r>
    </w:p>
    <w:p w14:paraId="2ADC4015" w14:textId="06616F16"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70</w:t>
      </w:r>
      <w:r>
        <w:rPr>
          <w:lang w:val="pl"/>
        </w:rPr>
        <w:fldChar w:fldCharType="end"/>
      </w:r>
      <w:r>
        <w:rPr>
          <w:lang w:val="pl"/>
        </w:rPr>
        <w:t>.  Rząd uważa, że tylko koszty związane z wniesieniem skargi do Trybunału mogą być brane pod uwagę, natomiast istnienie kosztów związanych z postępowaniem krajowym jest, jego zdaniem, nieistotne dla stwierdzenia naruszenia.</w:t>
      </w:r>
    </w:p>
    <w:p w14:paraId="5E93326E" w14:textId="3867311C"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71</w:t>
      </w:r>
      <w:r>
        <w:rPr>
          <w:lang w:val="pl"/>
        </w:rPr>
        <w:fldChar w:fldCharType="end"/>
      </w:r>
      <w:r>
        <w:rPr>
          <w:lang w:val="pl"/>
        </w:rPr>
        <w:t xml:space="preserve">.  Zgodnie z orzecznictwem Trybunału, skarżący może uzyskać zwrot poniesionych przez siebie kosztów i wydatków tylko w razie stwierdzenia, że zostały one rzeczywiście poniesione, że były konieczne, a ich stawka była uzasadniona. W niniejszej sprawie, w świetle dostępnych dokumentów i swojego orzecznictwa, Trybunał jest zdania, że jedynie koszty związane z wniesieniem skargi konstytucyjnej </w:t>
      </w:r>
      <w:proofErr w:type="spellStart"/>
      <w:r>
        <w:rPr>
          <w:i/>
          <w:iCs/>
          <w:lang w:val="pl"/>
        </w:rPr>
        <w:t>amparo</w:t>
      </w:r>
      <w:proofErr w:type="spellEnd"/>
      <w:r>
        <w:rPr>
          <w:i/>
          <w:iCs/>
          <w:lang w:val="pl"/>
        </w:rPr>
        <w:t xml:space="preserve"> </w:t>
      </w:r>
      <w:r>
        <w:rPr>
          <w:lang w:val="pl"/>
        </w:rPr>
        <w:t>do Trybunału Konstytucyjnego oraz koszty związane z wniesieniem niniejszej skargi mogą być uznane za poniesione w związku ze stwierdzeniem naruszenia.</w:t>
      </w:r>
    </w:p>
    <w:p w14:paraId="500286C5" w14:textId="7C8A18AB" w:rsidR="009A7E81" w:rsidRPr="0043093E" w:rsidRDefault="009A7E81" w:rsidP="0043093E">
      <w:pPr>
        <w:pStyle w:val="JuPara"/>
      </w:pPr>
      <w:r>
        <w:rPr>
          <w:lang w:val="pl"/>
        </w:rPr>
        <w:fldChar w:fldCharType="begin"/>
      </w:r>
      <w:r>
        <w:rPr>
          <w:lang w:val="pl"/>
        </w:rPr>
        <w:instrText xml:space="preserve"> SEQ level0 \*arabic </w:instrText>
      </w:r>
      <w:r>
        <w:rPr>
          <w:lang w:val="pl"/>
        </w:rPr>
        <w:fldChar w:fldCharType="separate"/>
      </w:r>
      <w:r>
        <w:rPr>
          <w:noProof/>
          <w:lang w:val="pl"/>
        </w:rPr>
        <w:t>72</w:t>
      </w:r>
      <w:r>
        <w:rPr>
          <w:lang w:val="pl"/>
        </w:rPr>
        <w:fldChar w:fldCharType="end"/>
      </w:r>
      <w:r>
        <w:rPr>
          <w:lang w:val="pl"/>
        </w:rPr>
        <w:t>.  Dlatego też uważa za zasadne zasądzenie na rzecz skarżącego kwoty 2 000 euro za postępowanie krajowe i 3 000 euro za postępowanie przed nim.</w:t>
      </w:r>
    </w:p>
    <w:p w14:paraId="0BF9011F" w14:textId="77777777" w:rsidR="009A7E81" w:rsidRPr="0043093E" w:rsidRDefault="009A7E81" w:rsidP="0043093E">
      <w:pPr>
        <w:pStyle w:val="JuHA"/>
      </w:pPr>
      <w:r>
        <w:rPr>
          <w:lang w:val="pl"/>
        </w:rPr>
        <w:t>Odsetki za zwłokę</w:t>
      </w:r>
    </w:p>
    <w:p w14:paraId="6AACB5A9" w14:textId="5614F059" w:rsidR="009A7E81" w:rsidRPr="0043093E" w:rsidRDefault="009A7E81" w:rsidP="0043093E">
      <w:pPr>
        <w:pStyle w:val="JuPara"/>
        <w:rPr>
          <w:rFonts w:eastAsia="Times New Roman"/>
        </w:rPr>
      </w:pPr>
      <w:r>
        <w:rPr>
          <w:lang w:val="pl"/>
        </w:rPr>
        <w:fldChar w:fldCharType="begin"/>
      </w:r>
      <w:r>
        <w:rPr>
          <w:lang w:val="pl"/>
        </w:rPr>
        <w:instrText xml:space="preserve"> SEQ level0 \*arabic </w:instrText>
      </w:r>
      <w:r>
        <w:rPr>
          <w:lang w:val="pl"/>
        </w:rPr>
        <w:fldChar w:fldCharType="separate"/>
      </w:r>
      <w:r>
        <w:rPr>
          <w:noProof/>
          <w:lang w:val="pl"/>
        </w:rPr>
        <w:t>73</w:t>
      </w:r>
      <w:r>
        <w:rPr>
          <w:lang w:val="pl"/>
        </w:rPr>
        <w:fldChar w:fldCharType="end"/>
      </w:r>
      <w:r>
        <w:rPr>
          <w:lang w:val="pl"/>
        </w:rPr>
        <w:t>.  Trybunał uważa za właściwe oparcie stopy odsetek za zwłokę na stopie procentowej kredytu marginalnego Europejskiego Banku Centralnego powiększonej o trzy punkty procentowe.</w:t>
      </w:r>
    </w:p>
    <w:p w14:paraId="7EC20575" w14:textId="0AFD3737" w:rsidR="009A7E81" w:rsidRPr="0043093E" w:rsidRDefault="00BA3768" w:rsidP="0043093E">
      <w:pPr>
        <w:pStyle w:val="JuHHead"/>
      </w:pPr>
      <w:r>
        <w:lastRenderedPageBreak/>
        <w:t>Z TYCH WZGLĘDÓW TRYBUNAŁ JEDNOGŁOŚNIE</w:t>
      </w:r>
      <w:r w:rsidR="009A7E81">
        <w:rPr>
          <w:bCs w:val="0"/>
          <w:lang w:val="pl"/>
        </w:rPr>
        <w:t>,</w:t>
      </w:r>
    </w:p>
    <w:p w14:paraId="74585D60" w14:textId="77777777" w:rsidR="009A7E81" w:rsidRPr="0043093E" w:rsidRDefault="009A7E81" w:rsidP="0043093E">
      <w:pPr>
        <w:pStyle w:val="JuList"/>
      </w:pPr>
      <w:r>
        <w:rPr>
          <w:i/>
          <w:iCs/>
          <w:lang w:val="pl"/>
        </w:rPr>
        <w:t>Uznaje</w:t>
      </w:r>
      <w:r>
        <w:rPr>
          <w:lang w:val="pl"/>
        </w:rPr>
        <w:t xml:space="preserve"> skargę za dopuszczalną;</w:t>
      </w:r>
    </w:p>
    <w:p w14:paraId="7D032016" w14:textId="515267EB" w:rsidR="009A7E81" w:rsidRPr="0043093E" w:rsidRDefault="009A7E81" w:rsidP="0043093E">
      <w:pPr>
        <w:pStyle w:val="JuList"/>
      </w:pPr>
      <w:r>
        <w:rPr>
          <w:i/>
          <w:iCs/>
          <w:lang w:val="pl"/>
        </w:rPr>
        <w:t>Stwierdza</w:t>
      </w:r>
      <w:r>
        <w:rPr>
          <w:lang w:val="pl"/>
        </w:rPr>
        <w:t>, że doszło do naruszenia art. 2 Protokołu nr 7 do Konwencji;</w:t>
      </w:r>
    </w:p>
    <w:p w14:paraId="7BF2E1B4" w14:textId="77777777" w:rsidR="009A7E81" w:rsidRPr="0043093E" w:rsidRDefault="009A7E81" w:rsidP="0043093E">
      <w:pPr>
        <w:pStyle w:val="JuList"/>
      </w:pPr>
      <w:r>
        <w:rPr>
          <w:i/>
          <w:iCs/>
          <w:lang w:val="pl"/>
        </w:rPr>
        <w:t>Stwierdza</w:t>
      </w:r>
    </w:p>
    <w:p w14:paraId="2FC99E05" w14:textId="22333484" w:rsidR="009A7E81" w:rsidRPr="0043093E" w:rsidRDefault="009A7E81" w:rsidP="0043093E">
      <w:pPr>
        <w:pStyle w:val="JuLista"/>
      </w:pPr>
      <w:r>
        <w:rPr>
          <w:lang w:val="pl"/>
        </w:rPr>
        <w:t>że pozwane Państwo zapłaci skarżącemu, w ciągu trzech miesięcy od dnia, w którym wyrok stanie się ostateczny zgodnie z artykułem 44 § 2 Konwencji, następujące kwoty:</w:t>
      </w:r>
    </w:p>
    <w:p w14:paraId="64BFE162" w14:textId="3E4A9389" w:rsidR="009A7E81" w:rsidRPr="0043093E" w:rsidRDefault="009A7E81" w:rsidP="0043093E">
      <w:pPr>
        <w:pStyle w:val="JuListi"/>
      </w:pPr>
      <w:r>
        <w:rPr>
          <w:lang w:val="pl"/>
        </w:rPr>
        <w:t>9.600 EUR (dziewięć tysięcy sześćset euro), plus ewentualne kwoty należne tytułem podatku, za szkodę niemajątkową;</w:t>
      </w:r>
    </w:p>
    <w:p w14:paraId="303655F4" w14:textId="0DB38660" w:rsidR="009A7E81" w:rsidRPr="0043093E" w:rsidRDefault="009A7E81" w:rsidP="0043093E">
      <w:pPr>
        <w:pStyle w:val="JuListi"/>
      </w:pPr>
      <w:r>
        <w:rPr>
          <w:lang w:val="pl"/>
        </w:rPr>
        <w:t>5.000 EUR (pięć tysięcy euro), powiększone o kwotę, którą skarżący może zapłacić jako podatek, tytułem kosztów i wydatków;</w:t>
      </w:r>
    </w:p>
    <w:p w14:paraId="2F8C33F4" w14:textId="7959A0A2" w:rsidR="009A7E81" w:rsidRPr="0043093E" w:rsidRDefault="009A7E81" w:rsidP="0043093E">
      <w:pPr>
        <w:pStyle w:val="JuLista"/>
      </w:pPr>
      <w:r>
        <w:rPr>
          <w:lang w:val="pl"/>
        </w:rPr>
        <w:t>że od upływu tego okresu do dnia zapłaty zasądzonych kwot, będą od nich naliczane odsetki zwykłe według stopy równej stopie oprocentowania kredytu marginalnego Europejskiego Banku Centralnego, stosowanej w tym okresie, powiększonej o trzy punkty procentowe;</w:t>
      </w:r>
    </w:p>
    <w:p w14:paraId="30B1E7F7" w14:textId="77777777" w:rsidR="009A7E81" w:rsidRPr="0043093E" w:rsidRDefault="009A7E81" w:rsidP="0043093E">
      <w:pPr>
        <w:pStyle w:val="JuList"/>
      </w:pPr>
      <w:r>
        <w:rPr>
          <w:lang w:val="pl"/>
        </w:rPr>
        <w:t xml:space="preserve">W pozostałym zakresie </w:t>
      </w:r>
      <w:r>
        <w:rPr>
          <w:i/>
          <w:iCs/>
          <w:lang w:val="pl"/>
        </w:rPr>
        <w:t>oddala</w:t>
      </w:r>
      <w:r>
        <w:rPr>
          <w:lang w:val="pl"/>
        </w:rPr>
        <w:t xml:space="preserve"> powództwo o zadośćuczynienie.</w:t>
      </w:r>
    </w:p>
    <w:p w14:paraId="341CBDC8" w14:textId="5100DDA3" w:rsidR="009A7E81" w:rsidRPr="0043093E" w:rsidRDefault="009A7E81" w:rsidP="0043093E">
      <w:pPr>
        <w:pStyle w:val="JuParaLast"/>
      </w:pPr>
      <w:r>
        <w:rPr>
          <w:lang w:val="pl"/>
        </w:rPr>
        <w:t xml:space="preserve">Sporządzono w języku francuskim i przekazano na piśmie w dniu 30 czerwca 2020 r., zgodnie z </w:t>
      </w:r>
      <w:r w:rsidR="00405DD6">
        <w:rPr>
          <w:lang w:val="pl"/>
        </w:rPr>
        <w:t>Regułą</w:t>
      </w:r>
      <w:r>
        <w:rPr>
          <w:lang w:val="pl"/>
        </w:rPr>
        <w:t xml:space="preserve"> 77 §§ 2 i 3 Regulaminu Trybunału.</w:t>
      </w:r>
    </w:p>
    <w:p w14:paraId="77D44140" w14:textId="60E3BA9A" w:rsidR="009A7E81" w:rsidRPr="0043093E" w:rsidRDefault="009A7E81" w:rsidP="008A17DA">
      <w:pPr>
        <w:pStyle w:val="JuSigned"/>
      </w:pPr>
      <w:r>
        <w:rPr>
          <w:lang w:val="pl"/>
        </w:rPr>
        <w:tab/>
        <w:t xml:space="preserve">Milan </w:t>
      </w:r>
      <w:proofErr w:type="spellStart"/>
      <w:r>
        <w:rPr>
          <w:rStyle w:val="JuJudgesChar"/>
          <w:lang w:val="pl"/>
        </w:rPr>
        <w:t>Blaško</w:t>
      </w:r>
      <w:proofErr w:type="spellEnd"/>
      <w:r>
        <w:rPr>
          <w:lang w:val="pl"/>
        </w:rPr>
        <w:tab/>
        <w:t xml:space="preserve">Paul </w:t>
      </w:r>
      <w:proofErr w:type="spellStart"/>
      <w:r>
        <w:rPr>
          <w:lang w:val="pl"/>
        </w:rPr>
        <w:t>Lemmens</w:t>
      </w:r>
      <w:proofErr w:type="spellEnd"/>
      <w:r>
        <w:rPr>
          <w:lang w:val="pl"/>
        </w:rPr>
        <w:br/>
      </w:r>
      <w:r>
        <w:rPr>
          <w:lang w:val="pl"/>
        </w:rPr>
        <w:tab/>
        <w:t>Sekretarz</w:t>
      </w:r>
      <w:r>
        <w:rPr>
          <w:lang w:val="pl"/>
        </w:rPr>
        <w:tab/>
        <w:t>Przewodniczący</w:t>
      </w:r>
    </w:p>
    <w:p w14:paraId="24D81941" w14:textId="3B5FE765" w:rsidR="009A7E81" w:rsidRPr="0043093E" w:rsidRDefault="009A7E81" w:rsidP="0043093E">
      <w:pPr>
        <w:pStyle w:val="JuParaLast"/>
      </w:pPr>
      <w:r>
        <w:rPr>
          <w:lang w:val="pl"/>
        </w:rPr>
        <w:t xml:space="preserve">Zgodnie z artykułem 45 § 2 Konwencji oraz 74 § 2 Regulaminu Trybunału, do niniejszego wyroku dołączona jest opinia odrębna sędziego </w:t>
      </w:r>
      <w:proofErr w:type="spellStart"/>
      <w:r>
        <w:rPr>
          <w:lang w:val="pl"/>
        </w:rPr>
        <w:t>Lemmensa</w:t>
      </w:r>
      <w:proofErr w:type="spellEnd"/>
      <w:r>
        <w:rPr>
          <w:lang w:val="pl"/>
        </w:rPr>
        <w:t>.</w:t>
      </w:r>
    </w:p>
    <w:p w14:paraId="114DA6C3" w14:textId="77777777" w:rsidR="009A7E81" w:rsidRPr="0043093E" w:rsidRDefault="009A7E81" w:rsidP="0043093E">
      <w:pPr>
        <w:pStyle w:val="JuInitialled"/>
      </w:pPr>
      <w:r>
        <w:rPr>
          <w:lang w:val="pl"/>
        </w:rPr>
        <w:t>P.L.</w:t>
      </w:r>
      <w:r>
        <w:rPr>
          <w:lang w:val="pl"/>
        </w:rPr>
        <w:br/>
        <w:t>M.B.</w:t>
      </w:r>
      <w:r>
        <w:rPr>
          <w:lang w:val="pl"/>
        </w:rPr>
        <w:br/>
      </w:r>
    </w:p>
    <w:p w14:paraId="6B0339A4" w14:textId="77777777" w:rsidR="009A7E81" w:rsidRPr="0043093E" w:rsidRDefault="009A7E81" w:rsidP="0043093E">
      <w:pPr>
        <w:pStyle w:val="JuInitialled"/>
        <w:jc w:val="center"/>
        <w:sectPr w:rsidR="009A7E81" w:rsidRPr="0043093E" w:rsidSect="007E67A7">
          <w:headerReference w:type="even" r:id="rId16"/>
          <w:headerReference w:type="default" r:id="rId17"/>
          <w:footerReference w:type="default" r:id="rId18"/>
          <w:footnotePr>
            <w:numRestart w:val="eachSect"/>
          </w:footnotePr>
          <w:pgSz w:w="11906" w:h="16838" w:code="9"/>
          <w:pgMar w:top="2274" w:right="2274" w:bottom="2274" w:left="2274" w:header="1701" w:footer="720" w:gutter="0"/>
          <w:pgNumType w:start="1"/>
          <w:cols w:space="720"/>
          <w:docGrid w:linePitch="326"/>
        </w:sectPr>
      </w:pPr>
    </w:p>
    <w:p w14:paraId="75C72842" w14:textId="77777777" w:rsidR="009A7E81" w:rsidRPr="0043093E" w:rsidRDefault="009A7E81" w:rsidP="0043093E">
      <w:pPr>
        <w:pStyle w:val="DecHTitle"/>
        <w:rPr>
          <w:rFonts w:eastAsia="Times New Roman"/>
        </w:rPr>
      </w:pPr>
      <w:r>
        <w:rPr>
          <w:rFonts w:eastAsia="Times New Roman"/>
          <w:lang w:val="pl"/>
        </w:rPr>
        <w:lastRenderedPageBreak/>
        <w:t>OPINIA ZBIEŻNA SĘDZIEGO LEMMENSA</w:t>
      </w:r>
    </w:p>
    <w:p w14:paraId="4017F2B6" w14:textId="77777777" w:rsidR="008A17DA" w:rsidRPr="007831E3" w:rsidRDefault="008A17DA" w:rsidP="008A17DA">
      <w:pPr>
        <w:pStyle w:val="Akapitzlist"/>
        <w:numPr>
          <w:ilvl w:val="0"/>
          <w:numId w:val="18"/>
        </w:numPr>
        <w:jc w:val="center"/>
        <w:rPr>
          <w:i/>
        </w:rPr>
      </w:pPr>
      <w:r>
        <w:rPr>
          <w:i/>
          <w:iCs/>
          <w:lang w:val="pl"/>
        </w:rPr>
        <w:t>[pominięto]</w:t>
      </w:r>
    </w:p>
    <w:p w14:paraId="1D4B2779" w14:textId="77777777" w:rsidR="009A7E81" w:rsidRPr="0043093E" w:rsidRDefault="009A7E81" w:rsidP="0043093E">
      <w:pPr>
        <w:pStyle w:val="JuPara"/>
        <w:rPr>
          <w:rFonts w:eastAsia="Times New Roman"/>
        </w:rPr>
      </w:pPr>
    </w:p>
    <w:p w14:paraId="4D849736" w14:textId="77777777" w:rsidR="00D255A2" w:rsidRPr="0043093E" w:rsidRDefault="00D255A2" w:rsidP="0043093E"/>
    <w:sectPr w:rsidR="00D255A2" w:rsidRPr="0043093E" w:rsidSect="009F6521">
      <w:headerReference w:type="even" r:id="rId19"/>
      <w:headerReference w:type="default" r:id="rId20"/>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DCDC9" w14:textId="77777777" w:rsidR="002539D5" w:rsidRPr="007E5FBE" w:rsidRDefault="002539D5" w:rsidP="00E77CB3">
      <w:r>
        <w:separator/>
      </w:r>
    </w:p>
  </w:endnote>
  <w:endnote w:type="continuationSeparator" w:id="0">
    <w:p w14:paraId="5BD5807E" w14:textId="77777777" w:rsidR="002539D5" w:rsidRPr="007E5FBE" w:rsidRDefault="002539D5" w:rsidP="00E7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10006FF" w:usb1="4000FCFF" w:usb2="00000009"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855176"/>
      <w:docPartObj>
        <w:docPartGallery w:val="Page Numbers (Bottom of Page)"/>
        <w:docPartUnique/>
      </w:docPartObj>
    </w:sdtPr>
    <w:sdtEndPr/>
    <w:sdtContent>
      <w:p w14:paraId="16148C64" w14:textId="1AB505BD" w:rsidR="009A7E81" w:rsidRDefault="009A7E81" w:rsidP="006606F0">
        <w:pPr>
          <w:pStyle w:val="Stopka"/>
        </w:pPr>
        <w:r>
          <w:rPr>
            <w:lang w:val="pl"/>
          </w:rPr>
          <w:tab/>
        </w:r>
        <w:r>
          <w:rPr>
            <w:sz w:val="18"/>
            <w:szCs w:val="18"/>
            <w:lang w:val="pl"/>
          </w:rPr>
          <w:fldChar w:fldCharType="begin"/>
        </w:r>
        <w:r>
          <w:rPr>
            <w:sz w:val="18"/>
            <w:szCs w:val="18"/>
            <w:lang w:val="pl"/>
          </w:rPr>
          <w:instrText xml:space="preserve"> PAGE </w:instrText>
        </w:r>
        <w:r>
          <w:rPr>
            <w:sz w:val="18"/>
            <w:szCs w:val="18"/>
            <w:lang w:val="pl"/>
          </w:rPr>
          <w:fldChar w:fldCharType="separate"/>
        </w:r>
        <w:r w:rsidR="000D36C6">
          <w:rPr>
            <w:noProof/>
            <w:sz w:val="18"/>
            <w:szCs w:val="18"/>
            <w:lang w:val="pl"/>
          </w:rPr>
          <w:t>14</w:t>
        </w:r>
        <w:r>
          <w:rPr>
            <w:sz w:val="18"/>
            <w:szCs w:val="18"/>
            <w:lang w:val="p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2013440421"/>
      <w:docPartObj>
        <w:docPartGallery w:val="Page Numbers (Bottom of Page)"/>
        <w:docPartUnique/>
      </w:docPartObj>
    </w:sdtPr>
    <w:sdtEndPr>
      <w:rPr>
        <w:szCs w:val="18"/>
      </w:rPr>
    </w:sdtEndPr>
    <w:sdtContent>
      <w:p w14:paraId="05843195" w14:textId="77777777" w:rsidR="009A7E81" w:rsidRPr="00D01935" w:rsidRDefault="009A7E81" w:rsidP="00405220">
        <w:pPr>
          <w:pStyle w:val="JuHeader"/>
        </w:pPr>
        <w:r>
          <w:rPr>
            <w:lang w:val="pl"/>
          </w:rPr>
          <w:fldChar w:fldCharType="begin"/>
        </w:r>
        <w:r>
          <w:rPr>
            <w:lang w:val="pl"/>
          </w:rPr>
          <w:instrText xml:space="preserve"> PAGE </w:instrText>
        </w:r>
        <w:r>
          <w:rPr>
            <w:lang w:val="pl"/>
          </w:rPr>
          <w:fldChar w:fldCharType="separate"/>
        </w:r>
        <w:r>
          <w:rPr>
            <w:noProof/>
            <w:lang w:val="pl"/>
          </w:rPr>
          <w:t>1</w:t>
        </w:r>
        <w:r>
          <w:rPr>
            <w:lang w:val="pl"/>
          </w:rPr>
          <w:fldChar w:fldCharType="end"/>
        </w:r>
      </w:p>
      <w:p w14:paraId="3B6EC95E" w14:textId="77777777" w:rsidR="009A7E81" w:rsidRDefault="002539D5">
        <w:pPr>
          <w:pStyle w:val="Stopka"/>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76889" w14:textId="77777777" w:rsidR="009A7E81" w:rsidRPr="00150BFA" w:rsidRDefault="009A7E81" w:rsidP="00F16820">
    <w:pPr>
      <w:jc w:val="center"/>
    </w:pPr>
    <w:r>
      <w:rPr>
        <w:noProof/>
        <w:lang w:val="pl-PL" w:eastAsia="pl-PL"/>
      </w:rPr>
      <w:drawing>
        <wp:inline distT="0" distB="0" distL="0" distR="0" wp14:anchorId="18F4C00E" wp14:editId="007895A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015705"/>
      <w:docPartObj>
        <w:docPartGallery w:val="Page Numbers (Bottom of Page)"/>
        <w:docPartUnique/>
      </w:docPartObj>
    </w:sdtPr>
    <w:sdtEndPr>
      <w:rPr>
        <w:szCs w:val="18"/>
      </w:rPr>
    </w:sdtEndPr>
    <w:sdtContent>
      <w:p w14:paraId="0EF0392B" w14:textId="38DAB532" w:rsidR="009A7E81" w:rsidRDefault="009A7E81" w:rsidP="00453F52">
        <w:pPr>
          <w:pStyle w:val="JuHeader"/>
        </w:pPr>
        <w:r>
          <w:rPr>
            <w:lang w:val="pl"/>
          </w:rPr>
          <w:fldChar w:fldCharType="begin"/>
        </w:r>
        <w:r>
          <w:rPr>
            <w:lang w:val="pl"/>
          </w:rPr>
          <w:instrText xml:space="preserve"> PAGE </w:instrText>
        </w:r>
        <w:r>
          <w:rPr>
            <w:lang w:val="pl"/>
          </w:rPr>
          <w:fldChar w:fldCharType="separate"/>
        </w:r>
        <w:r w:rsidR="000D36C6">
          <w:rPr>
            <w:noProof/>
            <w:lang w:val="pl"/>
          </w:rPr>
          <w:t>13</w:t>
        </w:r>
        <w:r>
          <w:rPr>
            <w:lang w:val="p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2E2AB" w14:textId="77777777" w:rsidR="002539D5" w:rsidRPr="007E5FBE" w:rsidRDefault="002539D5" w:rsidP="00E77CB3">
      <w:r>
        <w:separator/>
      </w:r>
    </w:p>
  </w:footnote>
  <w:footnote w:type="continuationSeparator" w:id="0">
    <w:p w14:paraId="21881713" w14:textId="77777777" w:rsidR="002539D5" w:rsidRPr="007E5FBE" w:rsidRDefault="002539D5" w:rsidP="00E77CB3">
      <w:r>
        <w:continuationSeparator/>
      </w:r>
    </w:p>
  </w:footnote>
  <w:footnote w:id="1">
    <w:p w14:paraId="4621584E" w14:textId="6A82DB0F" w:rsidR="00087E79" w:rsidRPr="00CA01A0" w:rsidRDefault="00087E79" w:rsidP="00087E79">
      <w:pPr>
        <w:pStyle w:val="s50c0b1c7"/>
        <w:jc w:val="both"/>
        <w:rPr>
          <w:lang w:val="pl-PL"/>
        </w:rPr>
      </w:pPr>
      <w:r w:rsidRPr="00886D6E">
        <w:rPr>
          <w:rStyle w:val="Odwoanieprzypisudolnego"/>
          <w:rFonts w:eastAsia="MS Gothic"/>
          <w:sz w:val="20"/>
          <w:szCs w:val="20"/>
          <w:lang w:val="pl"/>
        </w:rPr>
        <w:footnoteRef/>
      </w:r>
      <w:r w:rsidRPr="00886D6E">
        <w:rPr>
          <w:sz w:val="20"/>
          <w:szCs w:val="20"/>
          <w:lang w:val="pl"/>
        </w:rPr>
        <w:t xml:space="preserve"> Źródło: Nota informacyjna na temat orzecznictwa Trybunału nr 241, czerwiec 2020 r. (</w:t>
      </w:r>
      <w:r w:rsidRPr="00886D6E">
        <w:rPr>
          <w:rStyle w:val="s3aeeab2"/>
          <w:i/>
          <w:iCs/>
          <w:sz w:val="20"/>
          <w:szCs w:val="20"/>
          <w:lang w:val="pl"/>
        </w:rPr>
        <w:t xml:space="preserve">Notatka informacyjna. Orzecznictwo Europejskiego Trybunału Praw Człowieka nr. 241, czerwiec 2020 / </w:t>
      </w:r>
      <w:r w:rsidRPr="00886D6E">
        <w:rPr>
          <w:rStyle w:val="sfbbfee58"/>
          <w:i/>
          <w:iCs/>
          <w:sz w:val="20"/>
          <w:szCs w:val="20"/>
          <w:lang w:val="pl"/>
        </w:rPr>
        <w:t xml:space="preserve">Notatka informacyjna dotycząca orzecznictwa Trybunału 241 / </w:t>
      </w:r>
      <w:r w:rsidRPr="00886D6E">
        <w:rPr>
          <w:i/>
          <w:iCs/>
          <w:sz w:val="20"/>
          <w:szCs w:val="20"/>
          <w:lang w:val="pl"/>
        </w:rPr>
        <w:t>Czerwiec</w:t>
      </w:r>
      <w:r w:rsidRPr="00886D6E">
        <w:rPr>
          <w:rStyle w:val="sfbbfee58"/>
          <w:i/>
          <w:iCs/>
          <w:sz w:val="20"/>
          <w:szCs w:val="20"/>
          <w:lang w:val="pl"/>
        </w:rPr>
        <w:t>2020</w:t>
      </w:r>
      <w:r w:rsidRPr="00886D6E">
        <w:rPr>
          <w:rStyle w:val="s3aeeab2"/>
          <w:sz w:val="20"/>
          <w:szCs w:val="20"/>
          <w:lang w:va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8581D" w14:textId="77777777" w:rsidR="009A7E81" w:rsidRPr="007E67A7" w:rsidRDefault="009A7E81" w:rsidP="007E67A7">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2DDF9" w14:textId="77777777" w:rsidR="009A7E81" w:rsidRPr="00A45145" w:rsidRDefault="009A7E81" w:rsidP="00F16820">
    <w:pPr>
      <w:jc w:val="center"/>
    </w:pPr>
    <w:r>
      <w:rPr>
        <w:noProof/>
        <w:lang w:val="pl-PL" w:eastAsia="pl-PL"/>
      </w:rPr>
      <w:drawing>
        <wp:inline distT="0" distB="0" distL="0" distR="0" wp14:anchorId="624C2FBE" wp14:editId="1FD06664">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67A7C37" w14:textId="77777777" w:rsidR="009A7E81" w:rsidRDefault="009A7E8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20A9" w14:textId="77777777" w:rsidR="009A7E81" w:rsidRPr="007E5FBE" w:rsidRDefault="009A7E81" w:rsidP="00C611D8">
    <w:pPr>
      <w:pStyle w:val="JuHeader"/>
    </w:pPr>
    <w:r>
      <w:rPr>
        <w:lang w:val="pl"/>
      </w:rPr>
      <w:t>WYROK SAQUETTI IGLESIAS przeciwko HISZPANII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5D0D" w14:textId="77777777" w:rsidR="009A7E81" w:rsidRPr="007E5FBE" w:rsidRDefault="009A7E81" w:rsidP="00C63990">
    <w:pPr>
      <w:pStyle w:val="JuHeader"/>
    </w:pPr>
    <w:r>
      <w:rPr>
        <w:lang w:val="pl"/>
      </w:rPr>
      <w:tab/>
      <w:t>WYROK SAQUETTI IGLESIAS przeciwko HISZPANII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3727" w14:textId="77777777" w:rsidR="00DE06D7" w:rsidRPr="007E5FBE" w:rsidRDefault="00DE06D7" w:rsidP="00C611D8">
    <w:pPr>
      <w:pStyle w:val="JuHeader"/>
    </w:pPr>
    <w:r>
      <w:rPr>
        <w:lang w:val="pl"/>
      </w:rPr>
      <w:t xml:space="preserve">WYROK SAQUETTI IGLESIAS przeciwko HISZPANII - </w:t>
    </w:r>
    <w:r>
      <w:rPr>
        <w:noProof/>
        <w:lang w:val="pl"/>
      </w:rPr>
      <w:t>OPINIA</w:t>
    </w:r>
    <w:r>
      <w:rPr>
        <w:lang w:val="pl"/>
      </w:rPr>
      <w:t xml:space="preserve"> ODRĘBNA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F8888" w14:textId="77777777" w:rsidR="00DE06D7" w:rsidRPr="007612D5" w:rsidRDefault="00DE06D7" w:rsidP="00113A86">
    <w:pPr>
      <w:pStyle w:val="JuHeader"/>
      <w:tabs>
        <w:tab w:val="center" w:pos="3685"/>
      </w:tabs>
    </w:pPr>
    <w:r>
      <w:rPr>
        <w:lang w:val="pl"/>
      </w:rPr>
      <w:t>WYROK SAQUETTI IGLESIAS przeciwko HISZPANII</w:t>
    </w:r>
    <w:r>
      <w:rPr>
        <w:noProof/>
        <w:lang w:val="pl"/>
      </w:rPr>
      <w:t xml:space="preserve"> - OPINIA</w:t>
    </w:r>
    <w:r>
      <w:rPr>
        <w:lang w:val="pl"/>
      </w:rPr>
      <w:t xml:space="preserve"> ODRĘBNA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anumerowana"/>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ykusekcj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0326302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lvlText w:val="(%7)"/>
      <w:lvlJc w:val="left"/>
      <w:pPr>
        <w:ind w:left="1372" w:hanging="334"/>
      </w:pPr>
      <w:rPr>
        <w:rFonts w:ascii="Times New Roman" w:hAnsi="Times New Roman" w:hint="default"/>
        <w:sz w:val="20"/>
      </w:rPr>
    </w:lvl>
    <w:lvl w:ilvl="7">
      <w:start w:val="1"/>
      <w:numFmt w:val="bullet"/>
      <w:lvlText w:val="‒"/>
      <w:lvlJc w:val="left"/>
      <w:pPr>
        <w:ind w:left="1304" w:hanging="68"/>
      </w:pPr>
      <w:rPr>
        <w:rFonts w:ascii="Calibri" w:hAnsi="Calibri" w:hint="default"/>
        <w:color w:val="auto"/>
      </w:rPr>
    </w:lvl>
    <w:lvl w:ilvl="8">
      <w:start w:val="1"/>
      <w:numFmt w:val="bullet"/>
      <w:lvlText w:val="▪"/>
      <w:lvlJc w:val="left"/>
      <w:pPr>
        <w:ind w:left="1644" w:hanging="226"/>
      </w:pPr>
      <w:rPr>
        <w:rFonts w:ascii="Calibri" w:hAnsi="Calibri" w:hint="default"/>
        <w:b w:val="0"/>
        <w:i w:val="0"/>
        <w:color w:val="auto"/>
        <w:sz w:val="18"/>
      </w:rPr>
    </w:lvl>
  </w:abstractNum>
  <w:abstractNum w:abstractNumId="17" w15:restartNumberingAfterBreak="0">
    <w:nsid w:val="67FD1241"/>
    <w:multiLevelType w:val="hybridMultilevel"/>
    <w:tmpl w:val="F6D86CC2"/>
    <w:lvl w:ilvl="0" w:tplc="E4205412">
      <w:start w:val="1"/>
      <w:numFmt w:val="bullet"/>
      <w:pStyle w:val="Listapunktowana"/>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7"/>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DB10DC"/>
    <w:rsid w:val="00003AB6"/>
    <w:rsid w:val="000041F8"/>
    <w:rsid w:val="000042A8"/>
    <w:rsid w:val="00004308"/>
    <w:rsid w:val="000056E8"/>
    <w:rsid w:val="00005BF0"/>
    <w:rsid w:val="00006250"/>
    <w:rsid w:val="000064E6"/>
    <w:rsid w:val="00007154"/>
    <w:rsid w:val="000103AE"/>
    <w:rsid w:val="00011D69"/>
    <w:rsid w:val="00012AD3"/>
    <w:rsid w:val="00015C2D"/>
    <w:rsid w:val="00015F00"/>
    <w:rsid w:val="00022C1D"/>
    <w:rsid w:val="000237DD"/>
    <w:rsid w:val="0002510C"/>
    <w:rsid w:val="000269FA"/>
    <w:rsid w:val="00026C1A"/>
    <w:rsid w:val="00027C82"/>
    <w:rsid w:val="00030150"/>
    <w:rsid w:val="0003038F"/>
    <w:rsid w:val="00031347"/>
    <w:rsid w:val="00034987"/>
    <w:rsid w:val="00035334"/>
    <w:rsid w:val="00036ED7"/>
    <w:rsid w:val="00037F78"/>
    <w:rsid w:val="00040872"/>
    <w:rsid w:val="00042D27"/>
    <w:rsid w:val="0004399B"/>
    <w:rsid w:val="00043A74"/>
    <w:rsid w:val="00043F5D"/>
    <w:rsid w:val="00047616"/>
    <w:rsid w:val="0004777A"/>
    <w:rsid w:val="000520F0"/>
    <w:rsid w:val="0005683E"/>
    <w:rsid w:val="000602DF"/>
    <w:rsid w:val="00061B05"/>
    <w:rsid w:val="000632D5"/>
    <w:rsid w:val="00063379"/>
    <w:rsid w:val="0006439E"/>
    <w:rsid w:val="000644EE"/>
    <w:rsid w:val="00066A71"/>
    <w:rsid w:val="00066C13"/>
    <w:rsid w:val="00067CD3"/>
    <w:rsid w:val="00072AFC"/>
    <w:rsid w:val="00074B8E"/>
    <w:rsid w:val="0008019E"/>
    <w:rsid w:val="00080F0D"/>
    <w:rsid w:val="00087BBB"/>
    <w:rsid w:val="00087E79"/>
    <w:rsid w:val="00090F50"/>
    <w:rsid w:val="000925AD"/>
    <w:rsid w:val="0009308D"/>
    <w:rsid w:val="00094C77"/>
    <w:rsid w:val="00095B4B"/>
    <w:rsid w:val="000975ED"/>
    <w:rsid w:val="000A0AB2"/>
    <w:rsid w:val="000A24EB"/>
    <w:rsid w:val="000A2AC1"/>
    <w:rsid w:val="000A36EB"/>
    <w:rsid w:val="000A436A"/>
    <w:rsid w:val="000A4843"/>
    <w:rsid w:val="000A5B12"/>
    <w:rsid w:val="000B073A"/>
    <w:rsid w:val="000B1D94"/>
    <w:rsid w:val="000B6923"/>
    <w:rsid w:val="000B6F9F"/>
    <w:rsid w:val="000B7127"/>
    <w:rsid w:val="000C15DC"/>
    <w:rsid w:val="000C2F66"/>
    <w:rsid w:val="000C5BB0"/>
    <w:rsid w:val="000C5DE3"/>
    <w:rsid w:val="000C5F3C"/>
    <w:rsid w:val="000C6DCC"/>
    <w:rsid w:val="000C78B5"/>
    <w:rsid w:val="000D2E9A"/>
    <w:rsid w:val="000D2F72"/>
    <w:rsid w:val="000D36C6"/>
    <w:rsid w:val="000D47AA"/>
    <w:rsid w:val="000D721F"/>
    <w:rsid w:val="000E069B"/>
    <w:rsid w:val="000E06B4"/>
    <w:rsid w:val="000E0E82"/>
    <w:rsid w:val="000E18D0"/>
    <w:rsid w:val="000E1DC5"/>
    <w:rsid w:val="000E223F"/>
    <w:rsid w:val="000E394C"/>
    <w:rsid w:val="000E3AF0"/>
    <w:rsid w:val="000E7431"/>
    <w:rsid w:val="000E7D45"/>
    <w:rsid w:val="000F00EF"/>
    <w:rsid w:val="000F0B8A"/>
    <w:rsid w:val="000F0F05"/>
    <w:rsid w:val="000F3F7E"/>
    <w:rsid w:val="000F713E"/>
    <w:rsid w:val="000F7851"/>
    <w:rsid w:val="000F791D"/>
    <w:rsid w:val="00104E23"/>
    <w:rsid w:val="00105E49"/>
    <w:rsid w:val="00106673"/>
    <w:rsid w:val="00107419"/>
    <w:rsid w:val="00107A9D"/>
    <w:rsid w:val="001114E7"/>
    <w:rsid w:val="00111B0C"/>
    <w:rsid w:val="00112476"/>
    <w:rsid w:val="00113A86"/>
    <w:rsid w:val="00114210"/>
    <w:rsid w:val="00117F7A"/>
    <w:rsid w:val="00120D6C"/>
    <w:rsid w:val="001257EC"/>
    <w:rsid w:val="00126F0B"/>
    <w:rsid w:val="001303FC"/>
    <w:rsid w:val="00130997"/>
    <w:rsid w:val="00132695"/>
    <w:rsid w:val="00133D33"/>
    <w:rsid w:val="00134D64"/>
    <w:rsid w:val="00134E88"/>
    <w:rsid w:val="00135A30"/>
    <w:rsid w:val="00135C1A"/>
    <w:rsid w:val="0013612C"/>
    <w:rsid w:val="00137FF6"/>
    <w:rsid w:val="0014031A"/>
    <w:rsid w:val="00141650"/>
    <w:rsid w:val="00142F30"/>
    <w:rsid w:val="001433E9"/>
    <w:rsid w:val="001439B1"/>
    <w:rsid w:val="001443CF"/>
    <w:rsid w:val="00144757"/>
    <w:rsid w:val="00145637"/>
    <w:rsid w:val="00145FDD"/>
    <w:rsid w:val="00146515"/>
    <w:rsid w:val="001516A3"/>
    <w:rsid w:val="00152834"/>
    <w:rsid w:val="00154288"/>
    <w:rsid w:val="0016174F"/>
    <w:rsid w:val="001619D7"/>
    <w:rsid w:val="00162A12"/>
    <w:rsid w:val="00166530"/>
    <w:rsid w:val="00172993"/>
    <w:rsid w:val="00173582"/>
    <w:rsid w:val="001738DB"/>
    <w:rsid w:val="00176A65"/>
    <w:rsid w:val="001832BD"/>
    <w:rsid w:val="00187FA8"/>
    <w:rsid w:val="00190D38"/>
    <w:rsid w:val="001912EF"/>
    <w:rsid w:val="001929F9"/>
    <w:rsid w:val="001943B5"/>
    <w:rsid w:val="00194404"/>
    <w:rsid w:val="00195134"/>
    <w:rsid w:val="001957A4"/>
    <w:rsid w:val="001A11B1"/>
    <w:rsid w:val="001A145B"/>
    <w:rsid w:val="001A674C"/>
    <w:rsid w:val="001A6C84"/>
    <w:rsid w:val="001B0E15"/>
    <w:rsid w:val="001B2EBB"/>
    <w:rsid w:val="001B3B24"/>
    <w:rsid w:val="001B448C"/>
    <w:rsid w:val="001B65D4"/>
    <w:rsid w:val="001B72C7"/>
    <w:rsid w:val="001C0BDD"/>
    <w:rsid w:val="001C0DB0"/>
    <w:rsid w:val="001C0F98"/>
    <w:rsid w:val="001C1995"/>
    <w:rsid w:val="001C2A42"/>
    <w:rsid w:val="001C41FA"/>
    <w:rsid w:val="001C5A41"/>
    <w:rsid w:val="001C6C0F"/>
    <w:rsid w:val="001C73D7"/>
    <w:rsid w:val="001C7634"/>
    <w:rsid w:val="001D097B"/>
    <w:rsid w:val="001D63ED"/>
    <w:rsid w:val="001D7348"/>
    <w:rsid w:val="001E035B"/>
    <w:rsid w:val="001E0961"/>
    <w:rsid w:val="001E146C"/>
    <w:rsid w:val="001E2C3A"/>
    <w:rsid w:val="001E320A"/>
    <w:rsid w:val="001E3EAE"/>
    <w:rsid w:val="001E49F9"/>
    <w:rsid w:val="001E6F32"/>
    <w:rsid w:val="001E7442"/>
    <w:rsid w:val="001F12B2"/>
    <w:rsid w:val="001F2145"/>
    <w:rsid w:val="001F4E43"/>
    <w:rsid w:val="001F61BF"/>
    <w:rsid w:val="001F6262"/>
    <w:rsid w:val="001F67B0"/>
    <w:rsid w:val="001F7B3D"/>
    <w:rsid w:val="001F7C52"/>
    <w:rsid w:val="00205F9F"/>
    <w:rsid w:val="00210338"/>
    <w:rsid w:val="002115FC"/>
    <w:rsid w:val="00212941"/>
    <w:rsid w:val="00213ACF"/>
    <w:rsid w:val="0021423C"/>
    <w:rsid w:val="00221E1D"/>
    <w:rsid w:val="0022536E"/>
    <w:rsid w:val="002302A1"/>
    <w:rsid w:val="00230D00"/>
    <w:rsid w:val="00231CB7"/>
    <w:rsid w:val="00231DF7"/>
    <w:rsid w:val="00231FBC"/>
    <w:rsid w:val="00231FD1"/>
    <w:rsid w:val="002328D6"/>
    <w:rsid w:val="0023314C"/>
    <w:rsid w:val="0023335F"/>
    <w:rsid w:val="0023379C"/>
    <w:rsid w:val="002339E0"/>
    <w:rsid w:val="00233B8E"/>
    <w:rsid w:val="00233CF8"/>
    <w:rsid w:val="0023575D"/>
    <w:rsid w:val="00237148"/>
    <w:rsid w:val="0023755D"/>
    <w:rsid w:val="002375A8"/>
    <w:rsid w:val="00240070"/>
    <w:rsid w:val="00241733"/>
    <w:rsid w:val="0024222D"/>
    <w:rsid w:val="00242D41"/>
    <w:rsid w:val="00244B0E"/>
    <w:rsid w:val="00244F6C"/>
    <w:rsid w:val="00245443"/>
    <w:rsid w:val="00246ABB"/>
    <w:rsid w:val="0024726F"/>
    <w:rsid w:val="00247500"/>
    <w:rsid w:val="00247D86"/>
    <w:rsid w:val="002528DE"/>
    <w:rsid w:val="002532C5"/>
    <w:rsid w:val="002539D5"/>
    <w:rsid w:val="00256208"/>
    <w:rsid w:val="00256579"/>
    <w:rsid w:val="00260C03"/>
    <w:rsid w:val="002635E4"/>
    <w:rsid w:val="002645A2"/>
    <w:rsid w:val="0026540E"/>
    <w:rsid w:val="00266504"/>
    <w:rsid w:val="002701B9"/>
    <w:rsid w:val="0027065A"/>
    <w:rsid w:val="00271B9E"/>
    <w:rsid w:val="00273A28"/>
    <w:rsid w:val="00275123"/>
    <w:rsid w:val="00276789"/>
    <w:rsid w:val="00280A1A"/>
    <w:rsid w:val="00281894"/>
    <w:rsid w:val="00282240"/>
    <w:rsid w:val="0028392E"/>
    <w:rsid w:val="00291379"/>
    <w:rsid w:val="00291D43"/>
    <w:rsid w:val="00292233"/>
    <w:rsid w:val="002929A1"/>
    <w:rsid w:val="00293EED"/>
    <w:rsid w:val="002948AD"/>
    <w:rsid w:val="002955E6"/>
    <w:rsid w:val="00297A68"/>
    <w:rsid w:val="002A01CC"/>
    <w:rsid w:val="002A05EE"/>
    <w:rsid w:val="002A5687"/>
    <w:rsid w:val="002A61B1"/>
    <w:rsid w:val="002A663C"/>
    <w:rsid w:val="002B0839"/>
    <w:rsid w:val="002B444B"/>
    <w:rsid w:val="002B5887"/>
    <w:rsid w:val="002B6832"/>
    <w:rsid w:val="002C0E27"/>
    <w:rsid w:val="002C3040"/>
    <w:rsid w:val="002C545D"/>
    <w:rsid w:val="002C65E8"/>
    <w:rsid w:val="002D022D"/>
    <w:rsid w:val="002D12B1"/>
    <w:rsid w:val="002D23B6"/>
    <w:rsid w:val="002D24BB"/>
    <w:rsid w:val="002D6530"/>
    <w:rsid w:val="002D7995"/>
    <w:rsid w:val="002E02CB"/>
    <w:rsid w:val="002E0C9F"/>
    <w:rsid w:val="002E13DA"/>
    <w:rsid w:val="002E1EDE"/>
    <w:rsid w:val="002E4D42"/>
    <w:rsid w:val="002F121E"/>
    <w:rsid w:val="002F2AF7"/>
    <w:rsid w:val="002F33D1"/>
    <w:rsid w:val="002F6847"/>
    <w:rsid w:val="002F7E1C"/>
    <w:rsid w:val="00301954"/>
    <w:rsid w:val="00301967"/>
    <w:rsid w:val="00301A75"/>
    <w:rsid w:val="00302F70"/>
    <w:rsid w:val="0030336F"/>
    <w:rsid w:val="0030375E"/>
    <w:rsid w:val="00304BE7"/>
    <w:rsid w:val="00305660"/>
    <w:rsid w:val="0030706C"/>
    <w:rsid w:val="00312A30"/>
    <w:rsid w:val="00313DD7"/>
    <w:rsid w:val="00317411"/>
    <w:rsid w:val="00320F72"/>
    <w:rsid w:val="0032463E"/>
    <w:rsid w:val="003258C4"/>
    <w:rsid w:val="00326224"/>
    <w:rsid w:val="00326780"/>
    <w:rsid w:val="00326788"/>
    <w:rsid w:val="0032721C"/>
    <w:rsid w:val="0032772D"/>
    <w:rsid w:val="00327AD5"/>
    <w:rsid w:val="003303C9"/>
    <w:rsid w:val="00335A73"/>
    <w:rsid w:val="00337EE4"/>
    <w:rsid w:val="00340FFD"/>
    <w:rsid w:val="00342E96"/>
    <w:rsid w:val="0034439F"/>
    <w:rsid w:val="003455C8"/>
    <w:rsid w:val="0034711D"/>
    <w:rsid w:val="003477BD"/>
    <w:rsid w:val="003506B1"/>
    <w:rsid w:val="00351627"/>
    <w:rsid w:val="00352A32"/>
    <w:rsid w:val="00352C03"/>
    <w:rsid w:val="00354D8C"/>
    <w:rsid w:val="00354E93"/>
    <w:rsid w:val="00354F8C"/>
    <w:rsid w:val="00356AC7"/>
    <w:rsid w:val="00357497"/>
    <w:rsid w:val="003609FA"/>
    <w:rsid w:val="00362736"/>
    <w:rsid w:val="0036327B"/>
    <w:rsid w:val="00364C9F"/>
    <w:rsid w:val="00365BD9"/>
    <w:rsid w:val="00366214"/>
    <w:rsid w:val="003710C8"/>
    <w:rsid w:val="00371501"/>
    <w:rsid w:val="00373747"/>
    <w:rsid w:val="00374774"/>
    <w:rsid w:val="003750BE"/>
    <w:rsid w:val="00375904"/>
    <w:rsid w:val="003772DC"/>
    <w:rsid w:val="00377D97"/>
    <w:rsid w:val="0038696B"/>
    <w:rsid w:val="00386D24"/>
    <w:rsid w:val="00387630"/>
    <w:rsid w:val="00387B9D"/>
    <w:rsid w:val="00392C52"/>
    <w:rsid w:val="0039364F"/>
    <w:rsid w:val="00396686"/>
    <w:rsid w:val="0039778E"/>
    <w:rsid w:val="003A0065"/>
    <w:rsid w:val="003A020D"/>
    <w:rsid w:val="003A1777"/>
    <w:rsid w:val="003A2AE0"/>
    <w:rsid w:val="003A5D27"/>
    <w:rsid w:val="003B1765"/>
    <w:rsid w:val="003B2814"/>
    <w:rsid w:val="003B452D"/>
    <w:rsid w:val="003B4941"/>
    <w:rsid w:val="003B4D38"/>
    <w:rsid w:val="003B5FBC"/>
    <w:rsid w:val="003C07D1"/>
    <w:rsid w:val="003C0AEA"/>
    <w:rsid w:val="003C5714"/>
    <w:rsid w:val="003C6B9F"/>
    <w:rsid w:val="003C6E2A"/>
    <w:rsid w:val="003C6EBE"/>
    <w:rsid w:val="003D0299"/>
    <w:rsid w:val="003D193E"/>
    <w:rsid w:val="003D3550"/>
    <w:rsid w:val="003D61CB"/>
    <w:rsid w:val="003E376F"/>
    <w:rsid w:val="003E395A"/>
    <w:rsid w:val="003E4C82"/>
    <w:rsid w:val="003E6D80"/>
    <w:rsid w:val="003E7CFA"/>
    <w:rsid w:val="003F0086"/>
    <w:rsid w:val="003F05FA"/>
    <w:rsid w:val="003F2416"/>
    <w:rsid w:val="003F244A"/>
    <w:rsid w:val="003F30B8"/>
    <w:rsid w:val="003F36E5"/>
    <w:rsid w:val="003F4C45"/>
    <w:rsid w:val="003F59A0"/>
    <w:rsid w:val="003F5F7B"/>
    <w:rsid w:val="003F7D64"/>
    <w:rsid w:val="004001A6"/>
    <w:rsid w:val="0040155D"/>
    <w:rsid w:val="004050D0"/>
    <w:rsid w:val="00405220"/>
    <w:rsid w:val="00405DD6"/>
    <w:rsid w:val="00407C9E"/>
    <w:rsid w:val="0041297D"/>
    <w:rsid w:val="00413ADF"/>
    <w:rsid w:val="00414300"/>
    <w:rsid w:val="004147EA"/>
    <w:rsid w:val="00415119"/>
    <w:rsid w:val="00422F52"/>
    <w:rsid w:val="00425242"/>
    <w:rsid w:val="00425C67"/>
    <w:rsid w:val="00427E7A"/>
    <w:rsid w:val="0043093E"/>
    <w:rsid w:val="00430A98"/>
    <w:rsid w:val="00432F1B"/>
    <w:rsid w:val="00433190"/>
    <w:rsid w:val="00433A0E"/>
    <w:rsid w:val="00434B7C"/>
    <w:rsid w:val="00434EC4"/>
    <w:rsid w:val="00435389"/>
    <w:rsid w:val="00436C49"/>
    <w:rsid w:val="00441A35"/>
    <w:rsid w:val="004432C5"/>
    <w:rsid w:val="00445366"/>
    <w:rsid w:val="00447B1E"/>
    <w:rsid w:val="00447F5B"/>
    <w:rsid w:val="0045067D"/>
    <w:rsid w:val="00452879"/>
    <w:rsid w:val="00452FFC"/>
    <w:rsid w:val="00453F52"/>
    <w:rsid w:val="004543B9"/>
    <w:rsid w:val="00454664"/>
    <w:rsid w:val="00461DB0"/>
    <w:rsid w:val="00463926"/>
    <w:rsid w:val="00464C9A"/>
    <w:rsid w:val="004653B0"/>
    <w:rsid w:val="00470D7B"/>
    <w:rsid w:val="00471551"/>
    <w:rsid w:val="00472080"/>
    <w:rsid w:val="00472237"/>
    <w:rsid w:val="004741F5"/>
    <w:rsid w:val="00474F3D"/>
    <w:rsid w:val="004763E8"/>
    <w:rsid w:val="004767B3"/>
    <w:rsid w:val="004777D1"/>
    <w:rsid w:val="00477E3A"/>
    <w:rsid w:val="00480CFD"/>
    <w:rsid w:val="004833EA"/>
    <w:rsid w:val="00483E5F"/>
    <w:rsid w:val="00485FF9"/>
    <w:rsid w:val="00486ED0"/>
    <w:rsid w:val="004907F0"/>
    <w:rsid w:val="004909BD"/>
    <w:rsid w:val="0049140B"/>
    <w:rsid w:val="004915AC"/>
    <w:rsid w:val="004923A5"/>
    <w:rsid w:val="00492B8E"/>
    <w:rsid w:val="004951B1"/>
    <w:rsid w:val="00495E7B"/>
    <w:rsid w:val="00496BFB"/>
    <w:rsid w:val="004A15C7"/>
    <w:rsid w:val="004A18F9"/>
    <w:rsid w:val="004A207E"/>
    <w:rsid w:val="004A74AF"/>
    <w:rsid w:val="004B013B"/>
    <w:rsid w:val="004B0C51"/>
    <w:rsid w:val="004B112B"/>
    <w:rsid w:val="004B7258"/>
    <w:rsid w:val="004C01E4"/>
    <w:rsid w:val="004C0474"/>
    <w:rsid w:val="004C086C"/>
    <w:rsid w:val="004C1F56"/>
    <w:rsid w:val="004C27BC"/>
    <w:rsid w:val="004C375D"/>
    <w:rsid w:val="004D0055"/>
    <w:rsid w:val="004D158D"/>
    <w:rsid w:val="004D15F3"/>
    <w:rsid w:val="004D5311"/>
    <w:rsid w:val="004D5DCC"/>
    <w:rsid w:val="004D6234"/>
    <w:rsid w:val="004E1A20"/>
    <w:rsid w:val="004E6D79"/>
    <w:rsid w:val="004F10AF"/>
    <w:rsid w:val="004F11A4"/>
    <w:rsid w:val="004F161A"/>
    <w:rsid w:val="004F2389"/>
    <w:rsid w:val="004F2979"/>
    <w:rsid w:val="004F304D"/>
    <w:rsid w:val="004F5554"/>
    <w:rsid w:val="004F57A5"/>
    <w:rsid w:val="004F61BE"/>
    <w:rsid w:val="004F62C3"/>
    <w:rsid w:val="004F66B1"/>
    <w:rsid w:val="004F741F"/>
    <w:rsid w:val="005005FC"/>
    <w:rsid w:val="0050287F"/>
    <w:rsid w:val="00502B99"/>
    <w:rsid w:val="00506FEF"/>
    <w:rsid w:val="0051187D"/>
    <w:rsid w:val="00511C07"/>
    <w:rsid w:val="005123F7"/>
    <w:rsid w:val="005137AC"/>
    <w:rsid w:val="005155A5"/>
    <w:rsid w:val="00515C1A"/>
    <w:rsid w:val="005173A6"/>
    <w:rsid w:val="005174E4"/>
    <w:rsid w:val="005177EC"/>
    <w:rsid w:val="00520BAA"/>
    <w:rsid w:val="0052120A"/>
    <w:rsid w:val="00525208"/>
    <w:rsid w:val="005257A5"/>
    <w:rsid w:val="005263F0"/>
    <w:rsid w:val="005264C0"/>
    <w:rsid w:val="00526A8A"/>
    <w:rsid w:val="00531D7D"/>
    <w:rsid w:val="00531DF2"/>
    <w:rsid w:val="005341B8"/>
    <w:rsid w:val="0053704A"/>
    <w:rsid w:val="005372C6"/>
    <w:rsid w:val="00541EBB"/>
    <w:rsid w:val="005442EE"/>
    <w:rsid w:val="005449E4"/>
    <w:rsid w:val="00547353"/>
    <w:rsid w:val="005474E7"/>
    <w:rsid w:val="005479FC"/>
    <w:rsid w:val="00550324"/>
    <w:rsid w:val="005512A3"/>
    <w:rsid w:val="00551529"/>
    <w:rsid w:val="0055191C"/>
    <w:rsid w:val="005578CE"/>
    <w:rsid w:val="005600A6"/>
    <w:rsid w:val="00562781"/>
    <w:rsid w:val="00566668"/>
    <w:rsid w:val="00566FD2"/>
    <w:rsid w:val="005706EE"/>
    <w:rsid w:val="0057271C"/>
    <w:rsid w:val="00572845"/>
    <w:rsid w:val="0057306D"/>
    <w:rsid w:val="00574A96"/>
    <w:rsid w:val="00574C83"/>
    <w:rsid w:val="00581BC3"/>
    <w:rsid w:val="00581ECD"/>
    <w:rsid w:val="00583B0F"/>
    <w:rsid w:val="00590106"/>
    <w:rsid w:val="005906AD"/>
    <w:rsid w:val="00592772"/>
    <w:rsid w:val="005927B0"/>
    <w:rsid w:val="00592CDB"/>
    <w:rsid w:val="00592EBC"/>
    <w:rsid w:val="0059574A"/>
    <w:rsid w:val="00596468"/>
    <w:rsid w:val="00597C89"/>
    <w:rsid w:val="00597E58"/>
    <w:rsid w:val="005A02CB"/>
    <w:rsid w:val="005A1B9B"/>
    <w:rsid w:val="005A215C"/>
    <w:rsid w:val="005A340B"/>
    <w:rsid w:val="005A40EA"/>
    <w:rsid w:val="005A4479"/>
    <w:rsid w:val="005A64B6"/>
    <w:rsid w:val="005A6751"/>
    <w:rsid w:val="005B092E"/>
    <w:rsid w:val="005B152C"/>
    <w:rsid w:val="005B1EE0"/>
    <w:rsid w:val="005B2B24"/>
    <w:rsid w:val="005B4425"/>
    <w:rsid w:val="005B458F"/>
    <w:rsid w:val="005B4B94"/>
    <w:rsid w:val="005B5E90"/>
    <w:rsid w:val="005B7082"/>
    <w:rsid w:val="005B73C4"/>
    <w:rsid w:val="005C3EE8"/>
    <w:rsid w:val="005C471B"/>
    <w:rsid w:val="005C6CC8"/>
    <w:rsid w:val="005C783C"/>
    <w:rsid w:val="005D07A2"/>
    <w:rsid w:val="005D0EC7"/>
    <w:rsid w:val="005D34F9"/>
    <w:rsid w:val="005D4190"/>
    <w:rsid w:val="005D642B"/>
    <w:rsid w:val="005D67A3"/>
    <w:rsid w:val="005E09C7"/>
    <w:rsid w:val="005E0C6C"/>
    <w:rsid w:val="005E2988"/>
    <w:rsid w:val="005E3085"/>
    <w:rsid w:val="005E37C6"/>
    <w:rsid w:val="005E53AD"/>
    <w:rsid w:val="005E779D"/>
    <w:rsid w:val="005F2D29"/>
    <w:rsid w:val="005F51E1"/>
    <w:rsid w:val="00607062"/>
    <w:rsid w:val="0061115E"/>
    <w:rsid w:val="00611C80"/>
    <w:rsid w:val="0061566F"/>
    <w:rsid w:val="006156EC"/>
    <w:rsid w:val="00617E0D"/>
    <w:rsid w:val="00620517"/>
    <w:rsid w:val="00620692"/>
    <w:rsid w:val="006239AD"/>
    <w:rsid w:val="006242CA"/>
    <w:rsid w:val="00626DBD"/>
    <w:rsid w:val="00627507"/>
    <w:rsid w:val="006304CF"/>
    <w:rsid w:val="006304D6"/>
    <w:rsid w:val="00633717"/>
    <w:rsid w:val="006344E1"/>
    <w:rsid w:val="00641368"/>
    <w:rsid w:val="00642F7C"/>
    <w:rsid w:val="0064343C"/>
    <w:rsid w:val="0064485D"/>
    <w:rsid w:val="0064641D"/>
    <w:rsid w:val="00646454"/>
    <w:rsid w:val="00647415"/>
    <w:rsid w:val="00647B94"/>
    <w:rsid w:val="0065298D"/>
    <w:rsid w:val="00652C4A"/>
    <w:rsid w:val="00654301"/>
    <w:rsid w:val="006545C4"/>
    <w:rsid w:val="00655A32"/>
    <w:rsid w:val="006564C2"/>
    <w:rsid w:val="00657F11"/>
    <w:rsid w:val="006600C6"/>
    <w:rsid w:val="006606F0"/>
    <w:rsid w:val="00661971"/>
    <w:rsid w:val="00661CE8"/>
    <w:rsid w:val="006623D9"/>
    <w:rsid w:val="00663636"/>
    <w:rsid w:val="006643C5"/>
    <w:rsid w:val="0066550C"/>
    <w:rsid w:val="00665D6A"/>
    <w:rsid w:val="00665E3A"/>
    <w:rsid w:val="00667B26"/>
    <w:rsid w:val="0067152F"/>
    <w:rsid w:val="006716F2"/>
    <w:rsid w:val="00671D71"/>
    <w:rsid w:val="00680182"/>
    <w:rsid w:val="00680958"/>
    <w:rsid w:val="00681E7B"/>
    <w:rsid w:val="0068246E"/>
    <w:rsid w:val="00682BF2"/>
    <w:rsid w:val="00683834"/>
    <w:rsid w:val="006859CE"/>
    <w:rsid w:val="006860E0"/>
    <w:rsid w:val="00691270"/>
    <w:rsid w:val="006936F4"/>
    <w:rsid w:val="00694A2E"/>
    <w:rsid w:val="00694BA8"/>
    <w:rsid w:val="00695C54"/>
    <w:rsid w:val="00697E88"/>
    <w:rsid w:val="006A037C"/>
    <w:rsid w:val="006A30E2"/>
    <w:rsid w:val="006A36F4"/>
    <w:rsid w:val="006A406F"/>
    <w:rsid w:val="006A45EF"/>
    <w:rsid w:val="006A5468"/>
    <w:rsid w:val="006A5D3A"/>
    <w:rsid w:val="006B0D27"/>
    <w:rsid w:val="006B1029"/>
    <w:rsid w:val="006B3D6F"/>
    <w:rsid w:val="006B5843"/>
    <w:rsid w:val="006B5A76"/>
    <w:rsid w:val="006B7130"/>
    <w:rsid w:val="006C1305"/>
    <w:rsid w:val="006C1BCB"/>
    <w:rsid w:val="006C23D4"/>
    <w:rsid w:val="006C2EDA"/>
    <w:rsid w:val="006C49DB"/>
    <w:rsid w:val="006C64BE"/>
    <w:rsid w:val="006C6515"/>
    <w:rsid w:val="006C6DE4"/>
    <w:rsid w:val="006C7BB0"/>
    <w:rsid w:val="006D3237"/>
    <w:rsid w:val="006D55C7"/>
    <w:rsid w:val="006D6A54"/>
    <w:rsid w:val="006E2E37"/>
    <w:rsid w:val="006E3CF1"/>
    <w:rsid w:val="006E44C4"/>
    <w:rsid w:val="006E79D9"/>
    <w:rsid w:val="006E7E80"/>
    <w:rsid w:val="006F48CA"/>
    <w:rsid w:val="006F64DD"/>
    <w:rsid w:val="00701216"/>
    <w:rsid w:val="00702284"/>
    <w:rsid w:val="00703985"/>
    <w:rsid w:val="00704396"/>
    <w:rsid w:val="00705731"/>
    <w:rsid w:val="00706B5A"/>
    <w:rsid w:val="00711B9F"/>
    <w:rsid w:val="00711E19"/>
    <w:rsid w:val="007125FE"/>
    <w:rsid w:val="00712BB7"/>
    <w:rsid w:val="00713DB0"/>
    <w:rsid w:val="00715127"/>
    <w:rsid w:val="00715D29"/>
    <w:rsid w:val="00715E8E"/>
    <w:rsid w:val="0072242B"/>
    <w:rsid w:val="00723449"/>
    <w:rsid w:val="00723580"/>
    <w:rsid w:val="00723755"/>
    <w:rsid w:val="0073021D"/>
    <w:rsid w:val="0073136C"/>
    <w:rsid w:val="007313E2"/>
    <w:rsid w:val="00731F0F"/>
    <w:rsid w:val="00733250"/>
    <w:rsid w:val="00734309"/>
    <w:rsid w:val="00740786"/>
    <w:rsid w:val="00741404"/>
    <w:rsid w:val="007434F4"/>
    <w:rsid w:val="0074398E"/>
    <w:rsid w:val="00743A4E"/>
    <w:rsid w:val="00743E82"/>
    <w:rsid w:val="007449E5"/>
    <w:rsid w:val="007457DE"/>
    <w:rsid w:val="00747FF0"/>
    <w:rsid w:val="007513B3"/>
    <w:rsid w:val="007520FD"/>
    <w:rsid w:val="00757159"/>
    <w:rsid w:val="00757B5E"/>
    <w:rsid w:val="00764D4E"/>
    <w:rsid w:val="00765A1F"/>
    <w:rsid w:val="00766EBA"/>
    <w:rsid w:val="00767F5C"/>
    <w:rsid w:val="007710AE"/>
    <w:rsid w:val="00774FDD"/>
    <w:rsid w:val="00775B53"/>
    <w:rsid w:val="00775B6D"/>
    <w:rsid w:val="00776D68"/>
    <w:rsid w:val="00782545"/>
    <w:rsid w:val="00782654"/>
    <w:rsid w:val="00782FCD"/>
    <w:rsid w:val="0078349F"/>
    <w:rsid w:val="00784FD0"/>
    <w:rsid w:val="007850EE"/>
    <w:rsid w:val="00785B95"/>
    <w:rsid w:val="00787D99"/>
    <w:rsid w:val="00790E45"/>
    <w:rsid w:val="00790E96"/>
    <w:rsid w:val="00791FDE"/>
    <w:rsid w:val="00793366"/>
    <w:rsid w:val="007952DA"/>
    <w:rsid w:val="0079688D"/>
    <w:rsid w:val="007971A2"/>
    <w:rsid w:val="007A10C1"/>
    <w:rsid w:val="007A1485"/>
    <w:rsid w:val="007A410B"/>
    <w:rsid w:val="007A716F"/>
    <w:rsid w:val="007A71E5"/>
    <w:rsid w:val="007A7EE1"/>
    <w:rsid w:val="007B053A"/>
    <w:rsid w:val="007B270A"/>
    <w:rsid w:val="007B3027"/>
    <w:rsid w:val="007B4B56"/>
    <w:rsid w:val="007C0695"/>
    <w:rsid w:val="007C0958"/>
    <w:rsid w:val="007C20C4"/>
    <w:rsid w:val="007C249B"/>
    <w:rsid w:val="007C2544"/>
    <w:rsid w:val="007C2D05"/>
    <w:rsid w:val="007C3FAD"/>
    <w:rsid w:val="007C419A"/>
    <w:rsid w:val="007C4CC8"/>
    <w:rsid w:val="007C5426"/>
    <w:rsid w:val="007C5798"/>
    <w:rsid w:val="007C6557"/>
    <w:rsid w:val="007D363C"/>
    <w:rsid w:val="007D47F0"/>
    <w:rsid w:val="007D4832"/>
    <w:rsid w:val="007D4F19"/>
    <w:rsid w:val="007D7E45"/>
    <w:rsid w:val="007E1DFC"/>
    <w:rsid w:val="007E21B2"/>
    <w:rsid w:val="007E2C4E"/>
    <w:rsid w:val="007E3ED4"/>
    <w:rsid w:val="007E48C2"/>
    <w:rsid w:val="007E5FBE"/>
    <w:rsid w:val="007E67A7"/>
    <w:rsid w:val="007F1905"/>
    <w:rsid w:val="007F3CF3"/>
    <w:rsid w:val="007F46A1"/>
    <w:rsid w:val="007F4F51"/>
    <w:rsid w:val="007F5B54"/>
    <w:rsid w:val="00800B93"/>
    <w:rsid w:val="00801300"/>
    <w:rsid w:val="0080168A"/>
    <w:rsid w:val="00802C64"/>
    <w:rsid w:val="0080470D"/>
    <w:rsid w:val="00804E2D"/>
    <w:rsid w:val="00805E52"/>
    <w:rsid w:val="008061D0"/>
    <w:rsid w:val="008101FF"/>
    <w:rsid w:val="00810B38"/>
    <w:rsid w:val="008152B6"/>
    <w:rsid w:val="008204C7"/>
    <w:rsid w:val="00820992"/>
    <w:rsid w:val="00820DB6"/>
    <w:rsid w:val="00821A27"/>
    <w:rsid w:val="00821B01"/>
    <w:rsid w:val="00823602"/>
    <w:rsid w:val="00825359"/>
    <w:rsid w:val="008255F5"/>
    <w:rsid w:val="00825FC2"/>
    <w:rsid w:val="00825FD5"/>
    <w:rsid w:val="0083014E"/>
    <w:rsid w:val="00831DBC"/>
    <w:rsid w:val="0083214A"/>
    <w:rsid w:val="008323C4"/>
    <w:rsid w:val="00832AE2"/>
    <w:rsid w:val="0083327C"/>
    <w:rsid w:val="00834220"/>
    <w:rsid w:val="00834AC2"/>
    <w:rsid w:val="00834F95"/>
    <w:rsid w:val="00836C77"/>
    <w:rsid w:val="00840620"/>
    <w:rsid w:val="008409FE"/>
    <w:rsid w:val="00841AC8"/>
    <w:rsid w:val="00842E39"/>
    <w:rsid w:val="0084351A"/>
    <w:rsid w:val="00844833"/>
    <w:rsid w:val="00844F51"/>
    <w:rsid w:val="00845723"/>
    <w:rsid w:val="008461D3"/>
    <w:rsid w:val="0085189A"/>
    <w:rsid w:val="00851EF9"/>
    <w:rsid w:val="00853974"/>
    <w:rsid w:val="00857231"/>
    <w:rsid w:val="008577FD"/>
    <w:rsid w:val="00860B03"/>
    <w:rsid w:val="0086497A"/>
    <w:rsid w:val="00864C0F"/>
    <w:rsid w:val="00870A09"/>
    <w:rsid w:val="008713A1"/>
    <w:rsid w:val="00872204"/>
    <w:rsid w:val="00872BB0"/>
    <w:rsid w:val="00874C8F"/>
    <w:rsid w:val="008754AB"/>
    <w:rsid w:val="00875AB3"/>
    <w:rsid w:val="008761F5"/>
    <w:rsid w:val="0088060C"/>
    <w:rsid w:val="00883D75"/>
    <w:rsid w:val="0088645F"/>
    <w:rsid w:val="00886543"/>
    <w:rsid w:val="00886D6E"/>
    <w:rsid w:val="0089027D"/>
    <w:rsid w:val="00892758"/>
    <w:rsid w:val="00893576"/>
    <w:rsid w:val="00893650"/>
    <w:rsid w:val="00893E73"/>
    <w:rsid w:val="008964C8"/>
    <w:rsid w:val="008965C7"/>
    <w:rsid w:val="008A17DA"/>
    <w:rsid w:val="008A1ADD"/>
    <w:rsid w:val="008A2CCE"/>
    <w:rsid w:val="008B02DC"/>
    <w:rsid w:val="008B57CE"/>
    <w:rsid w:val="008B5BAB"/>
    <w:rsid w:val="008C01C2"/>
    <w:rsid w:val="008C26DE"/>
    <w:rsid w:val="008C30C1"/>
    <w:rsid w:val="008C3363"/>
    <w:rsid w:val="008C3385"/>
    <w:rsid w:val="008C73E1"/>
    <w:rsid w:val="008D034C"/>
    <w:rsid w:val="008D0683"/>
    <w:rsid w:val="008D2225"/>
    <w:rsid w:val="008D4752"/>
    <w:rsid w:val="008D4997"/>
    <w:rsid w:val="008D6B13"/>
    <w:rsid w:val="008D7298"/>
    <w:rsid w:val="008D7B02"/>
    <w:rsid w:val="008E271C"/>
    <w:rsid w:val="008E418E"/>
    <w:rsid w:val="008E4B73"/>
    <w:rsid w:val="008E5BC6"/>
    <w:rsid w:val="008E5BFD"/>
    <w:rsid w:val="008E6A25"/>
    <w:rsid w:val="008E6C6A"/>
    <w:rsid w:val="008F2152"/>
    <w:rsid w:val="008F21E3"/>
    <w:rsid w:val="008F5193"/>
    <w:rsid w:val="008F56FB"/>
    <w:rsid w:val="009013A7"/>
    <w:rsid w:val="009017FB"/>
    <w:rsid w:val="009017FC"/>
    <w:rsid w:val="00904573"/>
    <w:rsid w:val="0090506B"/>
    <w:rsid w:val="009050C9"/>
    <w:rsid w:val="009062BC"/>
    <w:rsid w:val="009063F1"/>
    <w:rsid w:val="009066FC"/>
    <w:rsid w:val="00906D1E"/>
    <w:rsid w:val="009140A3"/>
    <w:rsid w:val="00914236"/>
    <w:rsid w:val="009144A2"/>
    <w:rsid w:val="0091510C"/>
    <w:rsid w:val="00916E75"/>
    <w:rsid w:val="00917CCA"/>
    <w:rsid w:val="00921826"/>
    <w:rsid w:val="009259AC"/>
    <w:rsid w:val="00925B39"/>
    <w:rsid w:val="00925CD9"/>
    <w:rsid w:val="00926AD5"/>
    <w:rsid w:val="00926F38"/>
    <w:rsid w:val="00927457"/>
    <w:rsid w:val="00927D19"/>
    <w:rsid w:val="00931C7C"/>
    <w:rsid w:val="009323DE"/>
    <w:rsid w:val="00934301"/>
    <w:rsid w:val="009367E2"/>
    <w:rsid w:val="00936C2D"/>
    <w:rsid w:val="00936CD1"/>
    <w:rsid w:val="0093705A"/>
    <w:rsid w:val="00941747"/>
    <w:rsid w:val="00941EFB"/>
    <w:rsid w:val="0094316D"/>
    <w:rsid w:val="009442A7"/>
    <w:rsid w:val="00946D91"/>
    <w:rsid w:val="00947AFB"/>
    <w:rsid w:val="00951385"/>
    <w:rsid w:val="00951D7D"/>
    <w:rsid w:val="00952B44"/>
    <w:rsid w:val="00955CC6"/>
    <w:rsid w:val="0096057F"/>
    <w:rsid w:val="009630C7"/>
    <w:rsid w:val="0096746E"/>
    <w:rsid w:val="00967845"/>
    <w:rsid w:val="00970DD0"/>
    <w:rsid w:val="00971ED9"/>
    <w:rsid w:val="00972B55"/>
    <w:rsid w:val="009743B7"/>
    <w:rsid w:val="00975421"/>
    <w:rsid w:val="00975E4A"/>
    <w:rsid w:val="00976D6D"/>
    <w:rsid w:val="0098118C"/>
    <w:rsid w:val="00981ED9"/>
    <w:rsid w:val="0098228B"/>
    <w:rsid w:val="009828DA"/>
    <w:rsid w:val="00983E44"/>
    <w:rsid w:val="009843F3"/>
    <w:rsid w:val="00985BAB"/>
    <w:rsid w:val="0098728A"/>
    <w:rsid w:val="009876E1"/>
    <w:rsid w:val="00987A4E"/>
    <w:rsid w:val="00991ED6"/>
    <w:rsid w:val="00992690"/>
    <w:rsid w:val="00995C60"/>
    <w:rsid w:val="009A0AC2"/>
    <w:rsid w:val="009A3638"/>
    <w:rsid w:val="009A7E81"/>
    <w:rsid w:val="009B1240"/>
    <w:rsid w:val="009B1B5F"/>
    <w:rsid w:val="009B2212"/>
    <w:rsid w:val="009B3F99"/>
    <w:rsid w:val="009B49AA"/>
    <w:rsid w:val="009B6673"/>
    <w:rsid w:val="009B6D95"/>
    <w:rsid w:val="009C02B1"/>
    <w:rsid w:val="009C0CE9"/>
    <w:rsid w:val="009C191B"/>
    <w:rsid w:val="009C27C0"/>
    <w:rsid w:val="009C2BD6"/>
    <w:rsid w:val="009C5881"/>
    <w:rsid w:val="009C7C92"/>
    <w:rsid w:val="009D0948"/>
    <w:rsid w:val="009D16B0"/>
    <w:rsid w:val="009D38E4"/>
    <w:rsid w:val="009D44F4"/>
    <w:rsid w:val="009D5BCE"/>
    <w:rsid w:val="009D61F0"/>
    <w:rsid w:val="009D7922"/>
    <w:rsid w:val="009D7D21"/>
    <w:rsid w:val="009E1F32"/>
    <w:rsid w:val="009E5D1A"/>
    <w:rsid w:val="009E776C"/>
    <w:rsid w:val="009F4799"/>
    <w:rsid w:val="009F6521"/>
    <w:rsid w:val="00A00144"/>
    <w:rsid w:val="00A02D05"/>
    <w:rsid w:val="00A03065"/>
    <w:rsid w:val="00A038D3"/>
    <w:rsid w:val="00A11726"/>
    <w:rsid w:val="00A11903"/>
    <w:rsid w:val="00A15D64"/>
    <w:rsid w:val="00A16668"/>
    <w:rsid w:val="00A1726E"/>
    <w:rsid w:val="00A20238"/>
    <w:rsid w:val="00A204CF"/>
    <w:rsid w:val="00A236D4"/>
    <w:rsid w:val="00A23D49"/>
    <w:rsid w:val="00A2486B"/>
    <w:rsid w:val="00A24A2C"/>
    <w:rsid w:val="00A27004"/>
    <w:rsid w:val="00A30C29"/>
    <w:rsid w:val="00A321B5"/>
    <w:rsid w:val="00A34DD6"/>
    <w:rsid w:val="00A35C54"/>
    <w:rsid w:val="00A3608B"/>
    <w:rsid w:val="00A36819"/>
    <w:rsid w:val="00A36989"/>
    <w:rsid w:val="00A36D7D"/>
    <w:rsid w:val="00A43308"/>
    <w:rsid w:val="00A43628"/>
    <w:rsid w:val="00A43EEE"/>
    <w:rsid w:val="00A52901"/>
    <w:rsid w:val="00A5402B"/>
    <w:rsid w:val="00A54192"/>
    <w:rsid w:val="00A54212"/>
    <w:rsid w:val="00A54C33"/>
    <w:rsid w:val="00A57C0C"/>
    <w:rsid w:val="00A6035E"/>
    <w:rsid w:val="00A6144C"/>
    <w:rsid w:val="00A643EE"/>
    <w:rsid w:val="00A65389"/>
    <w:rsid w:val="00A66617"/>
    <w:rsid w:val="00A667C1"/>
    <w:rsid w:val="00A671F8"/>
    <w:rsid w:val="00A673A4"/>
    <w:rsid w:val="00A67531"/>
    <w:rsid w:val="00A70535"/>
    <w:rsid w:val="00A724AE"/>
    <w:rsid w:val="00A73329"/>
    <w:rsid w:val="00A738B4"/>
    <w:rsid w:val="00A74BC1"/>
    <w:rsid w:val="00A754A1"/>
    <w:rsid w:val="00A8038F"/>
    <w:rsid w:val="00A82359"/>
    <w:rsid w:val="00A82EB1"/>
    <w:rsid w:val="00A83AAF"/>
    <w:rsid w:val="00A84CA6"/>
    <w:rsid w:val="00A85F09"/>
    <w:rsid w:val="00A860C6"/>
    <w:rsid w:val="00A865D2"/>
    <w:rsid w:val="00A87FC1"/>
    <w:rsid w:val="00A91182"/>
    <w:rsid w:val="00A937E3"/>
    <w:rsid w:val="00A93FAC"/>
    <w:rsid w:val="00A94C20"/>
    <w:rsid w:val="00AA140E"/>
    <w:rsid w:val="00AA227F"/>
    <w:rsid w:val="00AA3BC7"/>
    <w:rsid w:val="00AA754A"/>
    <w:rsid w:val="00AB099E"/>
    <w:rsid w:val="00AB0AF1"/>
    <w:rsid w:val="00AB4328"/>
    <w:rsid w:val="00AC0084"/>
    <w:rsid w:val="00AC0824"/>
    <w:rsid w:val="00AC0A98"/>
    <w:rsid w:val="00AC201E"/>
    <w:rsid w:val="00AC4EBF"/>
    <w:rsid w:val="00AC7CA1"/>
    <w:rsid w:val="00AD24DF"/>
    <w:rsid w:val="00AD30D3"/>
    <w:rsid w:val="00AD36BC"/>
    <w:rsid w:val="00AD412E"/>
    <w:rsid w:val="00AD4816"/>
    <w:rsid w:val="00AD53DB"/>
    <w:rsid w:val="00AD60E9"/>
    <w:rsid w:val="00AD6495"/>
    <w:rsid w:val="00AE0175"/>
    <w:rsid w:val="00AE0A2E"/>
    <w:rsid w:val="00AE354C"/>
    <w:rsid w:val="00AE4D9D"/>
    <w:rsid w:val="00AE54D8"/>
    <w:rsid w:val="00AE65CE"/>
    <w:rsid w:val="00AF162E"/>
    <w:rsid w:val="00AF1FD0"/>
    <w:rsid w:val="00AF4B07"/>
    <w:rsid w:val="00AF5722"/>
    <w:rsid w:val="00AF5B33"/>
    <w:rsid w:val="00AF5CC8"/>
    <w:rsid w:val="00AF6186"/>
    <w:rsid w:val="00AF722C"/>
    <w:rsid w:val="00AF7A3A"/>
    <w:rsid w:val="00B019DB"/>
    <w:rsid w:val="00B06610"/>
    <w:rsid w:val="00B0711B"/>
    <w:rsid w:val="00B07680"/>
    <w:rsid w:val="00B11407"/>
    <w:rsid w:val="00B116A8"/>
    <w:rsid w:val="00B117C9"/>
    <w:rsid w:val="00B11EF6"/>
    <w:rsid w:val="00B1317A"/>
    <w:rsid w:val="00B13188"/>
    <w:rsid w:val="00B1434B"/>
    <w:rsid w:val="00B15992"/>
    <w:rsid w:val="00B160DB"/>
    <w:rsid w:val="00B17060"/>
    <w:rsid w:val="00B206BB"/>
    <w:rsid w:val="00B20836"/>
    <w:rsid w:val="00B226FE"/>
    <w:rsid w:val="00B22C45"/>
    <w:rsid w:val="00B23343"/>
    <w:rsid w:val="00B235BB"/>
    <w:rsid w:val="00B23B18"/>
    <w:rsid w:val="00B2487B"/>
    <w:rsid w:val="00B256EC"/>
    <w:rsid w:val="00B27A44"/>
    <w:rsid w:val="00B301C8"/>
    <w:rsid w:val="00B30BBF"/>
    <w:rsid w:val="00B33C03"/>
    <w:rsid w:val="00B35AB9"/>
    <w:rsid w:val="00B37DDD"/>
    <w:rsid w:val="00B4216B"/>
    <w:rsid w:val="00B4335B"/>
    <w:rsid w:val="00B44BFF"/>
    <w:rsid w:val="00B44E56"/>
    <w:rsid w:val="00B46543"/>
    <w:rsid w:val="00B47D33"/>
    <w:rsid w:val="00B50D0E"/>
    <w:rsid w:val="00B51F32"/>
    <w:rsid w:val="00B52BE0"/>
    <w:rsid w:val="00B54133"/>
    <w:rsid w:val="00B56318"/>
    <w:rsid w:val="00B64A55"/>
    <w:rsid w:val="00B701ED"/>
    <w:rsid w:val="00B704E4"/>
    <w:rsid w:val="00B721CD"/>
    <w:rsid w:val="00B72F83"/>
    <w:rsid w:val="00B73F87"/>
    <w:rsid w:val="00B7534A"/>
    <w:rsid w:val="00B804A8"/>
    <w:rsid w:val="00B8086C"/>
    <w:rsid w:val="00B83393"/>
    <w:rsid w:val="00B83499"/>
    <w:rsid w:val="00B851D2"/>
    <w:rsid w:val="00B861B4"/>
    <w:rsid w:val="00B86DFE"/>
    <w:rsid w:val="00B870B3"/>
    <w:rsid w:val="00B90990"/>
    <w:rsid w:val="00B922FF"/>
    <w:rsid w:val="00B9281E"/>
    <w:rsid w:val="00B93227"/>
    <w:rsid w:val="00B935FE"/>
    <w:rsid w:val="00B93925"/>
    <w:rsid w:val="00B93ECF"/>
    <w:rsid w:val="00B95187"/>
    <w:rsid w:val="00B9776F"/>
    <w:rsid w:val="00B97829"/>
    <w:rsid w:val="00BA0314"/>
    <w:rsid w:val="00BA0A9F"/>
    <w:rsid w:val="00BA2879"/>
    <w:rsid w:val="00BA2D55"/>
    <w:rsid w:val="00BA3107"/>
    <w:rsid w:val="00BA3768"/>
    <w:rsid w:val="00BA5169"/>
    <w:rsid w:val="00BA5282"/>
    <w:rsid w:val="00BA71B1"/>
    <w:rsid w:val="00BA7885"/>
    <w:rsid w:val="00BB0637"/>
    <w:rsid w:val="00BB345F"/>
    <w:rsid w:val="00BB5FD7"/>
    <w:rsid w:val="00BB68EA"/>
    <w:rsid w:val="00BC1C27"/>
    <w:rsid w:val="00BC33EF"/>
    <w:rsid w:val="00BC3748"/>
    <w:rsid w:val="00BC47F6"/>
    <w:rsid w:val="00BC4A8F"/>
    <w:rsid w:val="00BC5669"/>
    <w:rsid w:val="00BC6BBF"/>
    <w:rsid w:val="00BD0653"/>
    <w:rsid w:val="00BD1572"/>
    <w:rsid w:val="00BE14E3"/>
    <w:rsid w:val="00BE1A3E"/>
    <w:rsid w:val="00BE3774"/>
    <w:rsid w:val="00BE41E5"/>
    <w:rsid w:val="00BE7A71"/>
    <w:rsid w:val="00BF1ECD"/>
    <w:rsid w:val="00BF3334"/>
    <w:rsid w:val="00BF4109"/>
    <w:rsid w:val="00BF4CC3"/>
    <w:rsid w:val="00BF5E24"/>
    <w:rsid w:val="00BF5E81"/>
    <w:rsid w:val="00BF6E8F"/>
    <w:rsid w:val="00BF7489"/>
    <w:rsid w:val="00C054C7"/>
    <w:rsid w:val="00C057B5"/>
    <w:rsid w:val="00C06E15"/>
    <w:rsid w:val="00C07F83"/>
    <w:rsid w:val="00C1262B"/>
    <w:rsid w:val="00C15D1C"/>
    <w:rsid w:val="00C22687"/>
    <w:rsid w:val="00C2292E"/>
    <w:rsid w:val="00C22FB8"/>
    <w:rsid w:val="00C24185"/>
    <w:rsid w:val="00C251DE"/>
    <w:rsid w:val="00C25206"/>
    <w:rsid w:val="00C2750E"/>
    <w:rsid w:val="00C31146"/>
    <w:rsid w:val="00C314E5"/>
    <w:rsid w:val="00C31D9B"/>
    <w:rsid w:val="00C32E4D"/>
    <w:rsid w:val="00C333A0"/>
    <w:rsid w:val="00C33ACD"/>
    <w:rsid w:val="00C36408"/>
    <w:rsid w:val="00C36A81"/>
    <w:rsid w:val="00C410FA"/>
    <w:rsid w:val="00C41149"/>
    <w:rsid w:val="00C41388"/>
    <w:rsid w:val="00C41974"/>
    <w:rsid w:val="00C4500A"/>
    <w:rsid w:val="00C45251"/>
    <w:rsid w:val="00C51B51"/>
    <w:rsid w:val="00C523EC"/>
    <w:rsid w:val="00C52462"/>
    <w:rsid w:val="00C539AE"/>
    <w:rsid w:val="00C53F4A"/>
    <w:rsid w:val="00C54125"/>
    <w:rsid w:val="00C55B54"/>
    <w:rsid w:val="00C6098E"/>
    <w:rsid w:val="00C611D8"/>
    <w:rsid w:val="00C6152C"/>
    <w:rsid w:val="00C63990"/>
    <w:rsid w:val="00C64864"/>
    <w:rsid w:val="00C64EF6"/>
    <w:rsid w:val="00C65050"/>
    <w:rsid w:val="00C72561"/>
    <w:rsid w:val="00C74810"/>
    <w:rsid w:val="00C77099"/>
    <w:rsid w:val="00C82EBC"/>
    <w:rsid w:val="00C8624F"/>
    <w:rsid w:val="00C8636D"/>
    <w:rsid w:val="00C90D68"/>
    <w:rsid w:val="00C91601"/>
    <w:rsid w:val="00C91D73"/>
    <w:rsid w:val="00C93158"/>
    <w:rsid w:val="00C939FE"/>
    <w:rsid w:val="00C96271"/>
    <w:rsid w:val="00C96E55"/>
    <w:rsid w:val="00CA01A0"/>
    <w:rsid w:val="00CA0534"/>
    <w:rsid w:val="00CA0743"/>
    <w:rsid w:val="00CA1A3E"/>
    <w:rsid w:val="00CA3B09"/>
    <w:rsid w:val="00CA48D2"/>
    <w:rsid w:val="00CA4BDA"/>
    <w:rsid w:val="00CA7552"/>
    <w:rsid w:val="00CA7BE4"/>
    <w:rsid w:val="00CB1E83"/>
    <w:rsid w:val="00CB1F66"/>
    <w:rsid w:val="00CB2951"/>
    <w:rsid w:val="00CB39D6"/>
    <w:rsid w:val="00CB446F"/>
    <w:rsid w:val="00CB461B"/>
    <w:rsid w:val="00CB474C"/>
    <w:rsid w:val="00CB5920"/>
    <w:rsid w:val="00CB7A04"/>
    <w:rsid w:val="00CC3F9C"/>
    <w:rsid w:val="00CC3FE5"/>
    <w:rsid w:val="00CC512F"/>
    <w:rsid w:val="00CC5400"/>
    <w:rsid w:val="00CC582E"/>
    <w:rsid w:val="00CC71E6"/>
    <w:rsid w:val="00CC7CB6"/>
    <w:rsid w:val="00CD0501"/>
    <w:rsid w:val="00CD1338"/>
    <w:rsid w:val="00CD20EA"/>
    <w:rsid w:val="00CD275F"/>
    <w:rsid w:val="00CD282B"/>
    <w:rsid w:val="00CD2F65"/>
    <w:rsid w:val="00CD30AB"/>
    <w:rsid w:val="00CD4C35"/>
    <w:rsid w:val="00CD5BEE"/>
    <w:rsid w:val="00CD7369"/>
    <w:rsid w:val="00CD7F49"/>
    <w:rsid w:val="00CE07AA"/>
    <w:rsid w:val="00CE0B0E"/>
    <w:rsid w:val="00CE1A54"/>
    <w:rsid w:val="00CE210F"/>
    <w:rsid w:val="00CE3831"/>
    <w:rsid w:val="00CE3EFE"/>
    <w:rsid w:val="00CE5026"/>
    <w:rsid w:val="00CE68D0"/>
    <w:rsid w:val="00CF17CB"/>
    <w:rsid w:val="00CF2D82"/>
    <w:rsid w:val="00CF3DA7"/>
    <w:rsid w:val="00CF60EC"/>
    <w:rsid w:val="00CF6669"/>
    <w:rsid w:val="00CF7D1D"/>
    <w:rsid w:val="00D00ABB"/>
    <w:rsid w:val="00D02300"/>
    <w:rsid w:val="00D026C4"/>
    <w:rsid w:val="00D02703"/>
    <w:rsid w:val="00D02EEC"/>
    <w:rsid w:val="00D02F4A"/>
    <w:rsid w:val="00D03551"/>
    <w:rsid w:val="00D059A2"/>
    <w:rsid w:val="00D06A63"/>
    <w:rsid w:val="00D07E0E"/>
    <w:rsid w:val="00D11478"/>
    <w:rsid w:val="00D12CC1"/>
    <w:rsid w:val="00D15ED0"/>
    <w:rsid w:val="00D21B3E"/>
    <w:rsid w:val="00D21FED"/>
    <w:rsid w:val="00D24251"/>
    <w:rsid w:val="00D24484"/>
    <w:rsid w:val="00D250D7"/>
    <w:rsid w:val="00D255A2"/>
    <w:rsid w:val="00D30BF9"/>
    <w:rsid w:val="00D343E2"/>
    <w:rsid w:val="00D361A2"/>
    <w:rsid w:val="00D37C1F"/>
    <w:rsid w:val="00D40C86"/>
    <w:rsid w:val="00D41C9F"/>
    <w:rsid w:val="00D42521"/>
    <w:rsid w:val="00D42AFF"/>
    <w:rsid w:val="00D44C2E"/>
    <w:rsid w:val="00D451A1"/>
    <w:rsid w:val="00D45414"/>
    <w:rsid w:val="00D45A06"/>
    <w:rsid w:val="00D52AB5"/>
    <w:rsid w:val="00D566BD"/>
    <w:rsid w:val="00D576CF"/>
    <w:rsid w:val="00D57A4D"/>
    <w:rsid w:val="00D60AA7"/>
    <w:rsid w:val="00D617C4"/>
    <w:rsid w:val="00D6435F"/>
    <w:rsid w:val="00D65764"/>
    <w:rsid w:val="00D67487"/>
    <w:rsid w:val="00D67B74"/>
    <w:rsid w:val="00D72C49"/>
    <w:rsid w:val="00D73B2B"/>
    <w:rsid w:val="00D747CA"/>
    <w:rsid w:val="00D75D1F"/>
    <w:rsid w:val="00D75E28"/>
    <w:rsid w:val="00D76D4B"/>
    <w:rsid w:val="00D772C2"/>
    <w:rsid w:val="00D77F42"/>
    <w:rsid w:val="00D8008E"/>
    <w:rsid w:val="00D82B67"/>
    <w:rsid w:val="00D82C45"/>
    <w:rsid w:val="00D908A8"/>
    <w:rsid w:val="00D91DFE"/>
    <w:rsid w:val="00D91E60"/>
    <w:rsid w:val="00D92B39"/>
    <w:rsid w:val="00D93ABE"/>
    <w:rsid w:val="00D93BBC"/>
    <w:rsid w:val="00D977B6"/>
    <w:rsid w:val="00DA0538"/>
    <w:rsid w:val="00DA2CDA"/>
    <w:rsid w:val="00DA4A31"/>
    <w:rsid w:val="00DA53F6"/>
    <w:rsid w:val="00DA7B04"/>
    <w:rsid w:val="00DB10DC"/>
    <w:rsid w:val="00DB11D6"/>
    <w:rsid w:val="00DB29A2"/>
    <w:rsid w:val="00DB2F5A"/>
    <w:rsid w:val="00DB36C2"/>
    <w:rsid w:val="00DB4F52"/>
    <w:rsid w:val="00DB76B9"/>
    <w:rsid w:val="00DB78D5"/>
    <w:rsid w:val="00DB7CF3"/>
    <w:rsid w:val="00DC064C"/>
    <w:rsid w:val="00DC123E"/>
    <w:rsid w:val="00DC169B"/>
    <w:rsid w:val="00DC2AB9"/>
    <w:rsid w:val="00DC5A13"/>
    <w:rsid w:val="00DC63F0"/>
    <w:rsid w:val="00DD12FA"/>
    <w:rsid w:val="00DD2227"/>
    <w:rsid w:val="00DD38AA"/>
    <w:rsid w:val="00DD4AAB"/>
    <w:rsid w:val="00DD4F23"/>
    <w:rsid w:val="00DD5146"/>
    <w:rsid w:val="00DD6EE5"/>
    <w:rsid w:val="00DE06D7"/>
    <w:rsid w:val="00DE386C"/>
    <w:rsid w:val="00DE4D35"/>
    <w:rsid w:val="00DE572F"/>
    <w:rsid w:val="00DE6D4E"/>
    <w:rsid w:val="00DF098B"/>
    <w:rsid w:val="00DF11C4"/>
    <w:rsid w:val="00DF210C"/>
    <w:rsid w:val="00DF21AC"/>
    <w:rsid w:val="00DF4838"/>
    <w:rsid w:val="00DF4B6A"/>
    <w:rsid w:val="00DF5EB1"/>
    <w:rsid w:val="00DF6657"/>
    <w:rsid w:val="00E017B8"/>
    <w:rsid w:val="00E01E65"/>
    <w:rsid w:val="00E02C09"/>
    <w:rsid w:val="00E04D59"/>
    <w:rsid w:val="00E051F5"/>
    <w:rsid w:val="00E05285"/>
    <w:rsid w:val="00E07DA1"/>
    <w:rsid w:val="00E10D42"/>
    <w:rsid w:val="00E116C5"/>
    <w:rsid w:val="00E123CB"/>
    <w:rsid w:val="00E20E13"/>
    <w:rsid w:val="00E2161B"/>
    <w:rsid w:val="00E219AB"/>
    <w:rsid w:val="00E21DBC"/>
    <w:rsid w:val="00E23484"/>
    <w:rsid w:val="00E24EA3"/>
    <w:rsid w:val="00E275D7"/>
    <w:rsid w:val="00E27DBE"/>
    <w:rsid w:val="00E3092E"/>
    <w:rsid w:val="00E32AB1"/>
    <w:rsid w:val="00E34DDD"/>
    <w:rsid w:val="00E36C71"/>
    <w:rsid w:val="00E373F5"/>
    <w:rsid w:val="00E40404"/>
    <w:rsid w:val="00E40595"/>
    <w:rsid w:val="00E4286C"/>
    <w:rsid w:val="00E42F08"/>
    <w:rsid w:val="00E43C3C"/>
    <w:rsid w:val="00E4529A"/>
    <w:rsid w:val="00E459C6"/>
    <w:rsid w:val="00E47589"/>
    <w:rsid w:val="00E54212"/>
    <w:rsid w:val="00E573A4"/>
    <w:rsid w:val="00E61283"/>
    <w:rsid w:val="00E623DF"/>
    <w:rsid w:val="00E632ED"/>
    <w:rsid w:val="00E64915"/>
    <w:rsid w:val="00E652E1"/>
    <w:rsid w:val="00E661D4"/>
    <w:rsid w:val="00E70091"/>
    <w:rsid w:val="00E70AA0"/>
    <w:rsid w:val="00E70ADF"/>
    <w:rsid w:val="00E71E51"/>
    <w:rsid w:val="00E720F5"/>
    <w:rsid w:val="00E721C7"/>
    <w:rsid w:val="00E76D47"/>
    <w:rsid w:val="00E77CB3"/>
    <w:rsid w:val="00E82E35"/>
    <w:rsid w:val="00E83C53"/>
    <w:rsid w:val="00E849F7"/>
    <w:rsid w:val="00E85548"/>
    <w:rsid w:val="00E85CA7"/>
    <w:rsid w:val="00E864BA"/>
    <w:rsid w:val="00E8667F"/>
    <w:rsid w:val="00E87BE2"/>
    <w:rsid w:val="00E90302"/>
    <w:rsid w:val="00E91B91"/>
    <w:rsid w:val="00E920CD"/>
    <w:rsid w:val="00E9345A"/>
    <w:rsid w:val="00E97396"/>
    <w:rsid w:val="00EA11FC"/>
    <w:rsid w:val="00EA185E"/>
    <w:rsid w:val="00EA1AD7"/>
    <w:rsid w:val="00EA3064"/>
    <w:rsid w:val="00EA592A"/>
    <w:rsid w:val="00EA5D24"/>
    <w:rsid w:val="00EB0764"/>
    <w:rsid w:val="00EB14E4"/>
    <w:rsid w:val="00EB1E34"/>
    <w:rsid w:val="00EB32A5"/>
    <w:rsid w:val="00EB34ED"/>
    <w:rsid w:val="00EB6A75"/>
    <w:rsid w:val="00EB7BE0"/>
    <w:rsid w:val="00EB7C1F"/>
    <w:rsid w:val="00EB7E63"/>
    <w:rsid w:val="00EC21CE"/>
    <w:rsid w:val="00EC2A98"/>
    <w:rsid w:val="00EC315E"/>
    <w:rsid w:val="00EC58A9"/>
    <w:rsid w:val="00EC5FFA"/>
    <w:rsid w:val="00ED05D6"/>
    <w:rsid w:val="00ED077C"/>
    <w:rsid w:val="00ED1190"/>
    <w:rsid w:val="00ED148E"/>
    <w:rsid w:val="00ED1B97"/>
    <w:rsid w:val="00ED6544"/>
    <w:rsid w:val="00EE01F8"/>
    <w:rsid w:val="00EE0277"/>
    <w:rsid w:val="00EE3133"/>
    <w:rsid w:val="00EE3E00"/>
    <w:rsid w:val="00EE5DD2"/>
    <w:rsid w:val="00EF0A2E"/>
    <w:rsid w:val="00EF1D10"/>
    <w:rsid w:val="00EF45D6"/>
    <w:rsid w:val="00EF63C2"/>
    <w:rsid w:val="00F0031D"/>
    <w:rsid w:val="00F00A79"/>
    <w:rsid w:val="00F00E86"/>
    <w:rsid w:val="00F0353A"/>
    <w:rsid w:val="00F06C88"/>
    <w:rsid w:val="00F07C1E"/>
    <w:rsid w:val="00F105DB"/>
    <w:rsid w:val="00F121FA"/>
    <w:rsid w:val="00F12AAD"/>
    <w:rsid w:val="00F132BC"/>
    <w:rsid w:val="00F13D80"/>
    <w:rsid w:val="00F1404F"/>
    <w:rsid w:val="00F16820"/>
    <w:rsid w:val="00F16AAA"/>
    <w:rsid w:val="00F16F5D"/>
    <w:rsid w:val="00F17B1B"/>
    <w:rsid w:val="00F20AF6"/>
    <w:rsid w:val="00F21161"/>
    <w:rsid w:val="00F218EF"/>
    <w:rsid w:val="00F21BC7"/>
    <w:rsid w:val="00F266A2"/>
    <w:rsid w:val="00F30142"/>
    <w:rsid w:val="00F30F63"/>
    <w:rsid w:val="00F32094"/>
    <w:rsid w:val="00F32269"/>
    <w:rsid w:val="00F33750"/>
    <w:rsid w:val="00F3587F"/>
    <w:rsid w:val="00F4089A"/>
    <w:rsid w:val="00F46B8A"/>
    <w:rsid w:val="00F46DF0"/>
    <w:rsid w:val="00F516EE"/>
    <w:rsid w:val="00F52596"/>
    <w:rsid w:val="00F542E3"/>
    <w:rsid w:val="00F559C3"/>
    <w:rsid w:val="00F56A6F"/>
    <w:rsid w:val="00F56EE1"/>
    <w:rsid w:val="00F5709C"/>
    <w:rsid w:val="00F57471"/>
    <w:rsid w:val="00F602C5"/>
    <w:rsid w:val="00F603EE"/>
    <w:rsid w:val="00F64EF1"/>
    <w:rsid w:val="00F65DAA"/>
    <w:rsid w:val="00F67054"/>
    <w:rsid w:val="00F67263"/>
    <w:rsid w:val="00F748EF"/>
    <w:rsid w:val="00F80F70"/>
    <w:rsid w:val="00F8225F"/>
    <w:rsid w:val="00F83FF4"/>
    <w:rsid w:val="00F86860"/>
    <w:rsid w:val="00F8765F"/>
    <w:rsid w:val="00F90767"/>
    <w:rsid w:val="00F92F26"/>
    <w:rsid w:val="00F93632"/>
    <w:rsid w:val="00F94153"/>
    <w:rsid w:val="00FA3A90"/>
    <w:rsid w:val="00FA4339"/>
    <w:rsid w:val="00FA5E41"/>
    <w:rsid w:val="00FA685B"/>
    <w:rsid w:val="00FA7F0E"/>
    <w:rsid w:val="00FB049E"/>
    <w:rsid w:val="00FB0C01"/>
    <w:rsid w:val="00FB1246"/>
    <w:rsid w:val="00FB2B45"/>
    <w:rsid w:val="00FB3154"/>
    <w:rsid w:val="00FB5AF4"/>
    <w:rsid w:val="00FB6C44"/>
    <w:rsid w:val="00FC18F2"/>
    <w:rsid w:val="00FC2568"/>
    <w:rsid w:val="00FC39E5"/>
    <w:rsid w:val="00FC3A78"/>
    <w:rsid w:val="00FC5A76"/>
    <w:rsid w:val="00FC5B72"/>
    <w:rsid w:val="00FC658A"/>
    <w:rsid w:val="00FC687A"/>
    <w:rsid w:val="00FD1005"/>
    <w:rsid w:val="00FD131B"/>
    <w:rsid w:val="00FD14EB"/>
    <w:rsid w:val="00FD3881"/>
    <w:rsid w:val="00FD6325"/>
    <w:rsid w:val="00FD6A4C"/>
    <w:rsid w:val="00FD6C75"/>
    <w:rsid w:val="00FD7A41"/>
    <w:rsid w:val="00FE2681"/>
    <w:rsid w:val="00FE445F"/>
    <w:rsid w:val="00FE71B3"/>
    <w:rsid w:val="00FF245F"/>
    <w:rsid w:val="00FF42C5"/>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F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emiHidden/>
    <w:rsid w:val="009A7E81"/>
    <w:rPr>
      <w:sz w:val="24"/>
      <w:szCs w:val="24"/>
      <w:lang w:val="fr-FR"/>
    </w:rPr>
  </w:style>
  <w:style w:type="paragraph" w:styleId="Nagwek1">
    <w:name w:val="heading 1"/>
    <w:basedOn w:val="Normalny"/>
    <w:next w:val="Normalny"/>
    <w:link w:val="Nagwek1Znak"/>
    <w:uiPriority w:val="98"/>
    <w:semiHidden/>
    <w:rsid w:val="009A7E81"/>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8"/>
    <w:semiHidden/>
    <w:rsid w:val="009A7E81"/>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8"/>
    <w:semiHidden/>
    <w:rsid w:val="009A7E81"/>
    <w:pPr>
      <w:spacing w:before="200" w:line="271" w:lineRule="auto"/>
      <w:outlineLvl w:val="2"/>
    </w:pPr>
    <w:rPr>
      <w:rFonts w:asciiTheme="majorHAnsi" w:eastAsiaTheme="majorEastAsia" w:hAnsiTheme="majorHAnsi" w:cstheme="majorBidi"/>
      <w:b/>
      <w:bCs/>
      <w:color w:val="5F5F5F"/>
      <w:sz w:val="22"/>
      <w:szCs w:val="22"/>
    </w:rPr>
  </w:style>
  <w:style w:type="paragraph" w:styleId="Nagwek4">
    <w:name w:val="heading 4"/>
    <w:basedOn w:val="Normalny"/>
    <w:next w:val="Normalny"/>
    <w:link w:val="Nagwek4Znak"/>
    <w:uiPriority w:val="98"/>
    <w:semiHidden/>
    <w:rsid w:val="009A7E81"/>
    <w:pPr>
      <w:spacing w:before="200"/>
      <w:outlineLvl w:val="3"/>
    </w:pPr>
    <w:rPr>
      <w:rFonts w:asciiTheme="majorHAnsi" w:eastAsiaTheme="majorEastAsia" w:hAnsiTheme="majorHAnsi" w:cstheme="majorBidi"/>
      <w:b/>
      <w:bCs/>
      <w:i/>
      <w:iCs/>
      <w:color w:val="777777"/>
      <w:sz w:val="22"/>
      <w:szCs w:val="22"/>
    </w:rPr>
  </w:style>
  <w:style w:type="paragraph" w:styleId="Nagwek5">
    <w:name w:val="heading 5"/>
    <w:basedOn w:val="Normalny"/>
    <w:next w:val="Normalny"/>
    <w:link w:val="Nagwek5Znak"/>
    <w:uiPriority w:val="98"/>
    <w:semiHidden/>
    <w:qFormat/>
    <w:rsid w:val="009A7E81"/>
    <w:pPr>
      <w:spacing w:before="200"/>
      <w:outlineLvl w:val="4"/>
    </w:pPr>
    <w:rPr>
      <w:rFonts w:asciiTheme="majorHAnsi" w:eastAsiaTheme="majorEastAsia" w:hAnsiTheme="majorHAnsi" w:cstheme="majorBidi"/>
      <w:b/>
      <w:bCs/>
      <w:color w:val="808080"/>
      <w:sz w:val="22"/>
      <w:szCs w:val="22"/>
    </w:rPr>
  </w:style>
  <w:style w:type="paragraph" w:styleId="Nagwek6">
    <w:name w:val="heading 6"/>
    <w:basedOn w:val="Normalny"/>
    <w:next w:val="Normalny"/>
    <w:link w:val="Nagwek6Znak"/>
    <w:uiPriority w:val="98"/>
    <w:semiHidden/>
    <w:rsid w:val="009A7E81"/>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Nagwek7">
    <w:name w:val="heading 7"/>
    <w:basedOn w:val="Normalny"/>
    <w:next w:val="Normalny"/>
    <w:link w:val="Nagwek7Znak"/>
    <w:uiPriority w:val="98"/>
    <w:semiHidden/>
    <w:qFormat/>
    <w:rsid w:val="009A7E81"/>
    <w:pPr>
      <w:outlineLvl w:val="6"/>
    </w:pPr>
    <w:rPr>
      <w:rFonts w:asciiTheme="majorHAnsi" w:eastAsiaTheme="majorEastAsia" w:hAnsiTheme="majorHAnsi" w:cstheme="majorBidi"/>
      <w:i/>
      <w:iCs/>
      <w:sz w:val="22"/>
      <w:szCs w:val="22"/>
      <w:lang w:bidi="en-US"/>
    </w:rPr>
  </w:style>
  <w:style w:type="paragraph" w:styleId="Nagwek8">
    <w:name w:val="heading 8"/>
    <w:basedOn w:val="Normalny"/>
    <w:next w:val="Normalny"/>
    <w:link w:val="Nagwek8Znak"/>
    <w:uiPriority w:val="98"/>
    <w:semiHidden/>
    <w:qFormat/>
    <w:rsid w:val="009A7E81"/>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8"/>
    <w:semiHidden/>
    <w:qFormat/>
    <w:rsid w:val="009A7E81"/>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8"/>
    <w:semiHidden/>
    <w:rsid w:val="009A7E81"/>
    <w:rPr>
      <w:rFonts w:ascii="Tahoma" w:hAnsi="Tahoma" w:cs="Tahoma"/>
      <w:sz w:val="16"/>
      <w:szCs w:val="16"/>
    </w:rPr>
  </w:style>
  <w:style w:type="character" w:customStyle="1" w:styleId="TekstdymkaZnak">
    <w:name w:val="Tekst dymka Znak"/>
    <w:basedOn w:val="Domylnaczcionkaakapitu"/>
    <w:link w:val="Tekstdymka"/>
    <w:uiPriority w:val="98"/>
    <w:semiHidden/>
    <w:rsid w:val="009A7E81"/>
    <w:rPr>
      <w:rFonts w:ascii="Tahoma" w:hAnsi="Tahoma" w:cs="Tahoma"/>
      <w:sz w:val="16"/>
      <w:szCs w:val="16"/>
      <w:lang w:val="fr-FR"/>
    </w:rPr>
  </w:style>
  <w:style w:type="character" w:styleId="Tytuksiki">
    <w:name w:val="Book Title"/>
    <w:uiPriority w:val="98"/>
    <w:semiHidden/>
    <w:qFormat/>
    <w:rsid w:val="009A7E81"/>
    <w:rPr>
      <w:i/>
      <w:iCs/>
      <w:smallCaps/>
      <w:spacing w:val="5"/>
    </w:rPr>
  </w:style>
  <w:style w:type="paragraph" w:customStyle="1" w:styleId="JuHeader">
    <w:name w:val="Ju_Header"/>
    <w:aliases w:val="_Header"/>
    <w:basedOn w:val="Nagwek"/>
    <w:uiPriority w:val="29"/>
    <w:qFormat/>
    <w:rsid w:val="009A7E81"/>
    <w:pPr>
      <w:tabs>
        <w:tab w:val="clear" w:pos="4536"/>
        <w:tab w:val="clear" w:pos="9072"/>
      </w:tabs>
      <w:jc w:val="center"/>
    </w:pPr>
    <w:rPr>
      <w:sz w:val="18"/>
    </w:rPr>
  </w:style>
  <w:style w:type="paragraph" w:customStyle="1" w:styleId="ECHRFooter">
    <w:name w:val="ECHR_Footer"/>
    <w:aliases w:val="Footer_ECHR"/>
    <w:basedOn w:val="Stopka"/>
    <w:uiPriority w:val="57"/>
    <w:semiHidden/>
    <w:rsid w:val="00031347"/>
    <w:rPr>
      <w:sz w:val="8"/>
    </w:rPr>
  </w:style>
  <w:style w:type="character" w:styleId="Pogrubienie">
    <w:name w:val="Strong"/>
    <w:uiPriority w:val="98"/>
    <w:semiHidden/>
    <w:qFormat/>
    <w:rsid w:val="009A7E81"/>
    <w:rPr>
      <w:b/>
      <w:bCs/>
    </w:rPr>
  </w:style>
  <w:style w:type="paragraph" w:styleId="Bezodstpw">
    <w:name w:val="No Spacing"/>
    <w:basedOn w:val="Normalny"/>
    <w:link w:val="BezodstpwZnak"/>
    <w:uiPriority w:val="98"/>
    <w:semiHidden/>
    <w:qFormat/>
    <w:rsid w:val="009A7E81"/>
  </w:style>
  <w:style w:type="character" w:customStyle="1" w:styleId="BezodstpwZnak">
    <w:name w:val="Bez odstępów Znak"/>
    <w:basedOn w:val="Domylnaczcionkaakapitu"/>
    <w:link w:val="Bezodstpw"/>
    <w:uiPriority w:val="98"/>
    <w:semiHidden/>
    <w:rsid w:val="009A7E81"/>
    <w:rPr>
      <w:sz w:val="24"/>
      <w:szCs w:val="24"/>
      <w:lang w:val="fr-FR"/>
    </w:rPr>
  </w:style>
  <w:style w:type="paragraph" w:customStyle="1" w:styleId="ECHRFooterLine">
    <w:name w:val="ECHR_Footer_Line"/>
    <w:aliases w:val="_Footer_Line"/>
    <w:basedOn w:val="Normalny"/>
    <w:next w:val="Normalny"/>
    <w:uiPriority w:val="29"/>
    <w:semiHidden/>
    <w:rsid w:val="009A7E81"/>
    <w:pPr>
      <w:pBdr>
        <w:top w:val="single" w:sz="6" w:space="1" w:color="5F5F5F"/>
      </w:pBdr>
      <w:tabs>
        <w:tab w:val="center" w:pos="3686"/>
        <w:tab w:val="right" w:pos="7371"/>
      </w:tabs>
      <w:ind w:left="-1474" w:right="-1474"/>
    </w:pPr>
    <w:rPr>
      <w:color w:val="5F5F5F"/>
    </w:rPr>
  </w:style>
  <w:style w:type="paragraph" w:customStyle="1" w:styleId="ECHRBullet1">
    <w:name w:val="ECHR_Bullet_1"/>
    <w:aliases w:val="_Bul_1"/>
    <w:basedOn w:val="NormalJustified"/>
    <w:uiPriority w:val="23"/>
    <w:semiHidden/>
    <w:qFormat/>
    <w:rsid w:val="009A7E81"/>
    <w:pPr>
      <w:numPr>
        <w:numId w:val="5"/>
      </w:numPr>
      <w:spacing w:before="60" w:after="60"/>
    </w:pPr>
  </w:style>
  <w:style w:type="paragraph" w:customStyle="1" w:styleId="ECHRBullet2">
    <w:name w:val="ECHR_Bullet_2"/>
    <w:aliases w:val="_Bul_2"/>
    <w:basedOn w:val="ECHRBullet1"/>
    <w:uiPriority w:val="23"/>
    <w:semiHidden/>
    <w:rsid w:val="009A7E81"/>
    <w:pPr>
      <w:numPr>
        <w:ilvl w:val="1"/>
      </w:numPr>
    </w:pPr>
  </w:style>
  <w:style w:type="paragraph" w:customStyle="1" w:styleId="ECHRTitleCentre3">
    <w:name w:val="ECHR_Title_Centre_3"/>
    <w:aliases w:val="_Title_C_3"/>
    <w:basedOn w:val="Normalny"/>
    <w:next w:val="Normalny"/>
    <w:uiPriority w:val="26"/>
    <w:qFormat/>
    <w:rsid w:val="009A7E81"/>
    <w:pPr>
      <w:keepNext/>
      <w:keepLines/>
      <w:spacing w:before="240"/>
      <w:contextualSpacing/>
      <w:jc w:val="center"/>
    </w:pPr>
    <w:rPr>
      <w:rFonts w:asciiTheme="majorHAnsi" w:hAnsiTheme="majorHAnsi"/>
      <w:b/>
      <w:color w:val="474747" w:themeColor="accent3" w:themeShade="BF"/>
    </w:rPr>
  </w:style>
  <w:style w:type="paragraph" w:customStyle="1" w:styleId="ECHRTitleCentre1">
    <w:name w:val="ECHR_Title_Centre_1"/>
    <w:aliases w:val="_Title_C_1"/>
    <w:basedOn w:val="Normalny"/>
    <w:next w:val="Normalny"/>
    <w:uiPriority w:val="26"/>
    <w:qFormat/>
    <w:rsid w:val="009A7E81"/>
    <w:pPr>
      <w:keepNext/>
      <w:keepLines/>
      <w:spacing w:before="240"/>
      <w:contextualSpacing/>
      <w:jc w:val="center"/>
    </w:pPr>
    <w:rPr>
      <w:rFonts w:asciiTheme="majorHAnsi" w:hAnsiTheme="majorHAnsi"/>
      <w:b/>
      <w:color w:val="2F2F2F" w:themeColor="accent3" w:themeShade="80"/>
      <w:sz w:val="32"/>
    </w:rPr>
  </w:style>
  <w:style w:type="paragraph" w:customStyle="1" w:styleId="DecHCase">
    <w:name w:val="Dec_H_Case"/>
    <w:aliases w:val="_Title_3"/>
    <w:basedOn w:val="JuPara"/>
    <w:next w:val="JuPara"/>
    <w:uiPriority w:val="38"/>
    <w:qFormat/>
    <w:rsid w:val="009A7E81"/>
    <w:pPr>
      <w:keepNext/>
      <w:keepLines/>
      <w:spacing w:after="280"/>
      <w:ind w:firstLine="0"/>
      <w:jc w:val="center"/>
    </w:pPr>
    <w:rPr>
      <w:rFonts w:asciiTheme="majorHAnsi" w:hAnsiTheme="majorHAnsi"/>
    </w:rPr>
  </w:style>
  <w:style w:type="paragraph" w:customStyle="1" w:styleId="JuTitle">
    <w:name w:val="Ju_Title"/>
    <w:aliases w:val="_Title_2"/>
    <w:basedOn w:val="Normalny"/>
    <w:next w:val="JuPara"/>
    <w:uiPriority w:val="38"/>
    <w:qFormat/>
    <w:rsid w:val="009A7E81"/>
    <w:pPr>
      <w:keepNext/>
      <w:keepLines/>
      <w:spacing w:before="1320" w:after="280"/>
      <w:contextualSpacing/>
      <w:jc w:val="center"/>
    </w:pPr>
    <w:rPr>
      <w:b/>
    </w:rPr>
  </w:style>
  <w:style w:type="paragraph" w:styleId="Tytu">
    <w:name w:val="Title"/>
    <w:basedOn w:val="Normalny"/>
    <w:next w:val="Normalny"/>
    <w:link w:val="TytuZnak"/>
    <w:uiPriority w:val="98"/>
    <w:semiHidden/>
    <w:qFormat/>
    <w:rsid w:val="009A7E8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8"/>
    <w:semiHidden/>
    <w:rsid w:val="009A7E81"/>
    <w:rPr>
      <w:rFonts w:asciiTheme="majorHAnsi" w:eastAsiaTheme="majorEastAsia" w:hAnsiTheme="majorHAnsi" w:cstheme="majorBidi"/>
      <w:spacing w:val="5"/>
      <w:sz w:val="52"/>
      <w:szCs w:val="52"/>
      <w:lang w:val="fr-FR" w:bidi="en-US"/>
    </w:rPr>
  </w:style>
  <w:style w:type="paragraph" w:customStyle="1" w:styleId="JuH1">
    <w:name w:val="Ju_H_1."/>
    <w:aliases w:val="_Head_4"/>
    <w:basedOn w:val="Nagwek4"/>
    <w:next w:val="JuPara"/>
    <w:uiPriority w:val="17"/>
    <w:rsid w:val="009A7E81"/>
    <w:pPr>
      <w:keepNext/>
      <w:keepLines/>
      <w:numPr>
        <w:ilvl w:val="3"/>
        <w:numId w:val="1"/>
      </w:numPr>
      <w:spacing w:before="100" w:beforeAutospacing="1" w:after="120"/>
      <w:jc w:val="both"/>
    </w:pPr>
    <w:rPr>
      <w:b w:val="0"/>
      <w:color w:val="auto"/>
      <w:sz w:val="24"/>
    </w:rPr>
  </w:style>
  <w:style w:type="paragraph" w:customStyle="1" w:styleId="JuHa0">
    <w:name w:val="Ju_H_a"/>
    <w:aliases w:val="_Head_5"/>
    <w:basedOn w:val="Nagwek5"/>
    <w:next w:val="JuPara"/>
    <w:uiPriority w:val="17"/>
    <w:rsid w:val="009A7E81"/>
    <w:pPr>
      <w:keepNext/>
      <w:keepLines/>
      <w:numPr>
        <w:ilvl w:val="4"/>
        <w:numId w:val="1"/>
      </w:numPr>
      <w:spacing w:before="100" w:beforeAutospacing="1" w:after="120"/>
      <w:jc w:val="both"/>
    </w:pPr>
    <w:rPr>
      <w:color w:val="auto"/>
      <w:sz w:val="20"/>
    </w:rPr>
  </w:style>
  <w:style w:type="paragraph" w:customStyle="1" w:styleId="JuHi">
    <w:name w:val="Ju_H_i"/>
    <w:aliases w:val="_Head_6"/>
    <w:basedOn w:val="Nagwek6"/>
    <w:next w:val="JuPara"/>
    <w:uiPriority w:val="17"/>
    <w:rsid w:val="009A7E81"/>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Nagwek7"/>
    <w:next w:val="JuPara"/>
    <w:uiPriority w:val="17"/>
    <w:rsid w:val="009A7E81"/>
    <w:pPr>
      <w:keepNext/>
      <w:keepLines/>
      <w:numPr>
        <w:ilvl w:val="6"/>
        <w:numId w:val="1"/>
      </w:numPr>
      <w:tabs>
        <w:tab w:val="left" w:pos="1361"/>
      </w:tabs>
      <w:spacing w:before="100" w:beforeAutospacing="1" w:after="120"/>
      <w:jc w:val="both"/>
    </w:pPr>
    <w:rPr>
      <w:i w:val="0"/>
      <w:sz w:val="20"/>
    </w:rPr>
  </w:style>
  <w:style w:type="paragraph" w:customStyle="1" w:styleId="JuH">
    <w:name w:val="Ju_H_–"/>
    <w:aliases w:val="_Head_8"/>
    <w:basedOn w:val="Nagwek8"/>
    <w:next w:val="JuPara"/>
    <w:uiPriority w:val="17"/>
    <w:rsid w:val="009A7E81"/>
    <w:pPr>
      <w:keepNext/>
      <w:keepLines/>
      <w:numPr>
        <w:ilvl w:val="7"/>
        <w:numId w:val="1"/>
      </w:numPr>
      <w:spacing w:before="100" w:beforeAutospacing="1" w:after="120"/>
      <w:jc w:val="both"/>
    </w:pPr>
    <w:rPr>
      <w:i/>
    </w:rPr>
  </w:style>
  <w:style w:type="paragraph" w:customStyle="1" w:styleId="ECHRBullet3">
    <w:name w:val="ECHR_Bullet_3"/>
    <w:aliases w:val="_Bul_3"/>
    <w:basedOn w:val="ECHRBullet2"/>
    <w:uiPriority w:val="23"/>
    <w:semiHidden/>
    <w:rsid w:val="009A7E81"/>
    <w:pPr>
      <w:numPr>
        <w:ilvl w:val="2"/>
      </w:numPr>
    </w:pPr>
  </w:style>
  <w:style w:type="paragraph" w:customStyle="1" w:styleId="JuInitialled">
    <w:name w:val="Ju_Initialled"/>
    <w:aliases w:val="_Right"/>
    <w:basedOn w:val="Normalny"/>
    <w:uiPriority w:val="30"/>
    <w:qFormat/>
    <w:rsid w:val="009A7E81"/>
    <w:pPr>
      <w:tabs>
        <w:tab w:val="center" w:pos="6407"/>
      </w:tabs>
      <w:spacing w:before="720"/>
      <w:jc w:val="right"/>
    </w:pPr>
  </w:style>
  <w:style w:type="paragraph" w:styleId="Nagwek">
    <w:name w:val="header"/>
    <w:basedOn w:val="Normalny"/>
    <w:link w:val="NagwekZnak"/>
    <w:uiPriority w:val="98"/>
    <w:semiHidden/>
    <w:rsid w:val="009A7E81"/>
    <w:pPr>
      <w:tabs>
        <w:tab w:val="center" w:pos="4536"/>
        <w:tab w:val="right" w:pos="9072"/>
      </w:tabs>
    </w:pPr>
  </w:style>
  <w:style w:type="character" w:customStyle="1" w:styleId="NagwekZnak">
    <w:name w:val="Nagłówek Znak"/>
    <w:basedOn w:val="Domylnaczcionkaakapitu"/>
    <w:link w:val="Nagwek"/>
    <w:uiPriority w:val="98"/>
    <w:semiHidden/>
    <w:rsid w:val="009A7E81"/>
    <w:rPr>
      <w:sz w:val="24"/>
      <w:szCs w:val="24"/>
      <w:lang w:val="fr-FR"/>
    </w:rPr>
  </w:style>
  <w:style w:type="character" w:customStyle="1" w:styleId="Nagwek1Znak">
    <w:name w:val="Nagłówek 1 Znak"/>
    <w:basedOn w:val="Domylnaczcionkaakapitu"/>
    <w:link w:val="Nagwek1"/>
    <w:uiPriority w:val="98"/>
    <w:semiHidden/>
    <w:rsid w:val="009A7E81"/>
    <w:rPr>
      <w:rFonts w:asciiTheme="majorHAnsi" w:eastAsiaTheme="majorEastAsia" w:hAnsiTheme="majorHAnsi" w:cstheme="majorBidi"/>
      <w:b/>
      <w:bCs/>
      <w:color w:val="333333"/>
      <w:sz w:val="28"/>
      <w:szCs w:val="28"/>
      <w:lang w:val="fr-FR"/>
    </w:rPr>
  </w:style>
  <w:style w:type="paragraph" w:customStyle="1" w:styleId="JuHIRoman">
    <w:name w:val="Ju_H_I_Roman"/>
    <w:aliases w:val="_Head_2"/>
    <w:basedOn w:val="Nagwek2"/>
    <w:next w:val="JuPara"/>
    <w:uiPriority w:val="17"/>
    <w:qFormat/>
    <w:rsid w:val="009A7E81"/>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Nagwek3"/>
    <w:next w:val="JuPara"/>
    <w:uiPriority w:val="17"/>
    <w:qFormat/>
    <w:rsid w:val="009A7E81"/>
    <w:pPr>
      <w:keepNext/>
      <w:keepLines/>
      <w:numPr>
        <w:ilvl w:val="2"/>
        <w:numId w:val="1"/>
      </w:numPr>
      <w:spacing w:before="100" w:beforeAutospacing="1" w:after="240" w:line="240" w:lineRule="auto"/>
      <w:jc w:val="both"/>
    </w:pPr>
    <w:rPr>
      <w:color w:val="auto"/>
      <w:sz w:val="24"/>
    </w:rPr>
  </w:style>
  <w:style w:type="character" w:customStyle="1" w:styleId="Nagwek2Znak">
    <w:name w:val="Nagłówek 2 Znak"/>
    <w:basedOn w:val="Domylnaczcionkaakapitu"/>
    <w:link w:val="Nagwek2"/>
    <w:uiPriority w:val="98"/>
    <w:semiHidden/>
    <w:rsid w:val="009A7E81"/>
    <w:rPr>
      <w:rFonts w:asciiTheme="majorHAnsi" w:eastAsiaTheme="majorEastAsia" w:hAnsiTheme="majorHAnsi" w:cstheme="majorBidi"/>
      <w:b/>
      <w:bCs/>
      <w:color w:val="4D4D4D"/>
      <w:sz w:val="26"/>
      <w:szCs w:val="26"/>
      <w:lang w:val="fr-FR"/>
    </w:rPr>
  </w:style>
  <w:style w:type="character" w:customStyle="1" w:styleId="JUNAMES">
    <w:name w:val="JU_NAMES"/>
    <w:aliases w:val="_Ju_Names"/>
    <w:uiPriority w:val="33"/>
    <w:qFormat/>
    <w:rsid w:val="009A7E81"/>
    <w:rPr>
      <w:caps w:val="0"/>
      <w:smallCaps/>
    </w:rPr>
  </w:style>
  <w:style w:type="paragraph" w:customStyle="1" w:styleId="ECHRDecisionBody">
    <w:name w:val="ECHR_Decision_Body"/>
    <w:aliases w:val="_Decision_Body"/>
    <w:basedOn w:val="NormalJustified"/>
    <w:uiPriority w:val="54"/>
    <w:rsid w:val="009A7E81"/>
    <w:pPr>
      <w:tabs>
        <w:tab w:val="left" w:pos="567"/>
        <w:tab w:val="left" w:pos="1134"/>
      </w:tabs>
      <w:spacing w:line="240" w:lineRule="exact"/>
      <w:jc w:val="left"/>
    </w:pPr>
  </w:style>
  <w:style w:type="character" w:customStyle="1" w:styleId="Nagwek3Znak">
    <w:name w:val="Nagłówek 3 Znak"/>
    <w:basedOn w:val="Domylnaczcionkaakapitu"/>
    <w:link w:val="Nagwek3"/>
    <w:uiPriority w:val="98"/>
    <w:semiHidden/>
    <w:rsid w:val="009A7E81"/>
    <w:rPr>
      <w:rFonts w:asciiTheme="majorHAnsi" w:eastAsiaTheme="majorEastAsia" w:hAnsiTheme="majorHAnsi" w:cstheme="majorBidi"/>
      <w:b/>
      <w:bCs/>
      <w:color w:val="5F5F5F"/>
      <w:lang w:val="fr-FR"/>
    </w:rPr>
  </w:style>
  <w:style w:type="paragraph" w:customStyle="1" w:styleId="JuPara">
    <w:name w:val="Ju_Para"/>
    <w:aliases w:val="_Para,ECHR_Para,Para,N_Para,Left,First line:  0 cm,Normal + TimesNewRomanPSMT,10 pt,Left:  1,27 cm,Line spacing:  1.5 l...,Ju_Para + Interligne : Double"/>
    <w:basedOn w:val="NormalJustified"/>
    <w:link w:val="JuParaChar"/>
    <w:uiPriority w:val="99"/>
    <w:qFormat/>
    <w:rsid w:val="009A7E81"/>
    <w:pPr>
      <w:ind w:firstLine="284"/>
    </w:pPr>
  </w:style>
  <w:style w:type="character" w:customStyle="1" w:styleId="Nagwek4Znak">
    <w:name w:val="Nagłówek 4 Znak"/>
    <w:basedOn w:val="Domylnaczcionkaakapitu"/>
    <w:link w:val="Nagwek4"/>
    <w:uiPriority w:val="98"/>
    <w:semiHidden/>
    <w:rsid w:val="009A7E81"/>
    <w:rPr>
      <w:rFonts w:asciiTheme="majorHAnsi" w:eastAsiaTheme="majorEastAsia" w:hAnsiTheme="majorHAnsi" w:cstheme="majorBidi"/>
      <w:b/>
      <w:bCs/>
      <w:i/>
      <w:iCs/>
      <w:color w:val="777777"/>
      <w:lang w:val="fr-FR"/>
    </w:rPr>
  </w:style>
  <w:style w:type="character" w:customStyle="1" w:styleId="Nagwek5Znak">
    <w:name w:val="Nagłówek 5 Znak"/>
    <w:basedOn w:val="Domylnaczcionkaakapitu"/>
    <w:link w:val="Nagwek5"/>
    <w:uiPriority w:val="98"/>
    <w:semiHidden/>
    <w:rsid w:val="009A7E81"/>
    <w:rPr>
      <w:rFonts w:asciiTheme="majorHAnsi" w:eastAsiaTheme="majorEastAsia" w:hAnsiTheme="majorHAnsi" w:cstheme="majorBidi"/>
      <w:b/>
      <w:bCs/>
      <w:color w:val="808080"/>
      <w:lang w:val="fr-FR"/>
    </w:rPr>
  </w:style>
  <w:style w:type="character" w:styleId="Wyrnieniedelikatne">
    <w:name w:val="Subtle Emphasis"/>
    <w:uiPriority w:val="98"/>
    <w:semiHidden/>
    <w:qFormat/>
    <w:rsid w:val="009A7E81"/>
    <w:rPr>
      <w:i/>
      <w:iCs/>
    </w:rPr>
  </w:style>
  <w:style w:type="table" w:customStyle="1" w:styleId="ECHRTable">
    <w:name w:val="ECHR_Table"/>
    <w:basedOn w:val="Standardowy"/>
    <w:rsid w:val="009A7E8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9A7E8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HHead">
    <w:name w:val="Ju_H_Head"/>
    <w:aliases w:val="_Head_1"/>
    <w:basedOn w:val="Nagwek1"/>
    <w:next w:val="JuPara"/>
    <w:uiPriority w:val="17"/>
    <w:qFormat/>
    <w:rsid w:val="009A7E81"/>
    <w:pPr>
      <w:keepNext/>
      <w:keepLines/>
      <w:numPr>
        <w:numId w:val="1"/>
      </w:numPr>
      <w:spacing w:before="100" w:beforeAutospacing="1" w:after="240"/>
      <w:contextualSpacing w:val="0"/>
      <w:jc w:val="both"/>
    </w:pPr>
    <w:rPr>
      <w:b w:val="0"/>
      <w:caps/>
      <w:color w:val="auto"/>
    </w:rPr>
  </w:style>
  <w:style w:type="character" w:styleId="Uwydatnienie">
    <w:name w:val="Emphasis"/>
    <w:uiPriority w:val="98"/>
    <w:semiHidden/>
    <w:qFormat/>
    <w:rsid w:val="009A7E81"/>
    <w:rPr>
      <w:b/>
      <w:bCs/>
      <w:i/>
      <w:iCs/>
      <w:spacing w:val="10"/>
      <w:bdr w:val="none" w:sz="0" w:space="0" w:color="auto"/>
      <w:shd w:val="clear" w:color="auto" w:fill="auto"/>
    </w:rPr>
  </w:style>
  <w:style w:type="paragraph" w:styleId="Stopka">
    <w:name w:val="footer"/>
    <w:basedOn w:val="Normalny"/>
    <w:link w:val="StopkaZnak"/>
    <w:uiPriority w:val="98"/>
    <w:semiHidden/>
    <w:rsid w:val="009A7E81"/>
    <w:pPr>
      <w:tabs>
        <w:tab w:val="center" w:pos="3686"/>
        <w:tab w:val="right" w:pos="7371"/>
      </w:tabs>
    </w:pPr>
  </w:style>
  <w:style w:type="character" w:customStyle="1" w:styleId="StopkaZnak">
    <w:name w:val="Stopka Znak"/>
    <w:basedOn w:val="Domylnaczcionkaakapitu"/>
    <w:link w:val="Stopka"/>
    <w:uiPriority w:val="98"/>
    <w:semiHidden/>
    <w:rsid w:val="009A7E81"/>
    <w:rPr>
      <w:sz w:val="24"/>
      <w:szCs w:val="24"/>
      <w:lang w:val="fr-FR"/>
    </w:rPr>
  </w:style>
  <w:style w:type="character" w:styleId="Odwoanieprzypisudolnego">
    <w:name w:val="footnote reference"/>
    <w:basedOn w:val="Domylnaczcionkaakapitu"/>
    <w:uiPriority w:val="99"/>
    <w:semiHidden/>
    <w:rsid w:val="009A7E81"/>
    <w:rPr>
      <w:vertAlign w:val="superscript"/>
    </w:rPr>
  </w:style>
  <w:style w:type="paragraph" w:styleId="Tekstprzypisudolnego">
    <w:name w:val="footnote text"/>
    <w:basedOn w:val="Normalny"/>
    <w:link w:val="TekstprzypisudolnegoZnak"/>
    <w:uiPriority w:val="98"/>
    <w:semiHidden/>
    <w:rsid w:val="009A7E81"/>
    <w:rPr>
      <w:sz w:val="20"/>
      <w:szCs w:val="20"/>
    </w:rPr>
  </w:style>
  <w:style w:type="character" w:customStyle="1" w:styleId="TekstprzypisudolnegoZnak">
    <w:name w:val="Tekst przypisu dolnego Znak"/>
    <w:basedOn w:val="Domylnaczcionkaakapitu"/>
    <w:link w:val="Tekstprzypisudolnego"/>
    <w:uiPriority w:val="98"/>
    <w:semiHidden/>
    <w:rsid w:val="009A7E81"/>
    <w:rPr>
      <w:sz w:val="20"/>
      <w:szCs w:val="20"/>
      <w:lang w:val="fr-FR"/>
    </w:rPr>
  </w:style>
  <w:style w:type="character" w:customStyle="1" w:styleId="Nagwek6Znak">
    <w:name w:val="Nagłówek 6 Znak"/>
    <w:basedOn w:val="Domylnaczcionkaakapitu"/>
    <w:link w:val="Nagwek6"/>
    <w:uiPriority w:val="98"/>
    <w:semiHidden/>
    <w:rsid w:val="009A7E81"/>
    <w:rPr>
      <w:rFonts w:asciiTheme="majorHAnsi" w:eastAsiaTheme="majorEastAsia" w:hAnsiTheme="majorHAnsi" w:cstheme="majorBidi"/>
      <w:b/>
      <w:bCs/>
      <w:i/>
      <w:iCs/>
      <w:color w:val="7F7F7F" w:themeColor="text1" w:themeTint="80"/>
      <w:lang w:val="fr-FR" w:bidi="en-US"/>
    </w:rPr>
  </w:style>
  <w:style w:type="character" w:customStyle="1" w:styleId="Nagwek7Znak">
    <w:name w:val="Nagłówek 7 Znak"/>
    <w:basedOn w:val="Domylnaczcionkaakapitu"/>
    <w:link w:val="Nagwek7"/>
    <w:uiPriority w:val="98"/>
    <w:semiHidden/>
    <w:rsid w:val="009A7E81"/>
    <w:rPr>
      <w:rFonts w:asciiTheme="majorHAnsi" w:eastAsiaTheme="majorEastAsia" w:hAnsiTheme="majorHAnsi" w:cstheme="majorBidi"/>
      <w:i/>
      <w:iCs/>
      <w:lang w:val="fr-FR" w:bidi="en-US"/>
    </w:rPr>
  </w:style>
  <w:style w:type="character" w:customStyle="1" w:styleId="Nagwek8Znak">
    <w:name w:val="Nagłówek 8 Znak"/>
    <w:basedOn w:val="Domylnaczcionkaakapitu"/>
    <w:link w:val="Nagwek8"/>
    <w:uiPriority w:val="98"/>
    <w:semiHidden/>
    <w:rsid w:val="009A7E81"/>
    <w:rPr>
      <w:rFonts w:asciiTheme="majorHAnsi" w:eastAsiaTheme="majorEastAsia" w:hAnsiTheme="majorHAnsi" w:cstheme="majorBidi"/>
      <w:sz w:val="20"/>
      <w:szCs w:val="20"/>
      <w:lang w:val="fr-FR" w:bidi="en-US"/>
    </w:rPr>
  </w:style>
  <w:style w:type="character" w:customStyle="1" w:styleId="Nagwek9Znak">
    <w:name w:val="Nagłówek 9 Znak"/>
    <w:basedOn w:val="Domylnaczcionkaakapitu"/>
    <w:link w:val="Nagwek9"/>
    <w:uiPriority w:val="98"/>
    <w:semiHidden/>
    <w:rsid w:val="009A7E81"/>
    <w:rPr>
      <w:rFonts w:asciiTheme="majorHAnsi" w:eastAsiaTheme="majorEastAsia" w:hAnsiTheme="majorHAnsi" w:cstheme="majorBidi"/>
      <w:i/>
      <w:iCs/>
      <w:spacing w:val="5"/>
      <w:sz w:val="20"/>
      <w:szCs w:val="20"/>
      <w:lang w:val="fr-FR" w:bidi="en-US"/>
    </w:rPr>
  </w:style>
  <w:style w:type="character" w:styleId="Hipercze">
    <w:name w:val="Hyperlink"/>
    <w:basedOn w:val="Domylnaczcionkaakapitu"/>
    <w:uiPriority w:val="98"/>
    <w:semiHidden/>
    <w:rsid w:val="009A7E81"/>
    <w:rPr>
      <w:color w:val="0072BC" w:themeColor="hyperlink"/>
      <w:u w:val="single"/>
    </w:rPr>
  </w:style>
  <w:style w:type="character" w:styleId="Wyrnienieintensywne">
    <w:name w:val="Intense Emphasis"/>
    <w:uiPriority w:val="98"/>
    <w:semiHidden/>
    <w:qFormat/>
    <w:rsid w:val="009A7E81"/>
    <w:rPr>
      <w:b/>
      <w:bCs/>
    </w:rPr>
  </w:style>
  <w:style w:type="paragraph" w:styleId="Cytatintensywny">
    <w:name w:val="Intense Quote"/>
    <w:basedOn w:val="Normalny"/>
    <w:next w:val="Normalny"/>
    <w:link w:val="CytatintensywnyZnak"/>
    <w:uiPriority w:val="98"/>
    <w:semiHidden/>
    <w:qFormat/>
    <w:rsid w:val="009A7E81"/>
    <w:pPr>
      <w:pBdr>
        <w:bottom w:val="single" w:sz="4" w:space="1" w:color="auto"/>
      </w:pBdr>
      <w:spacing w:before="200" w:after="280"/>
      <w:ind w:left="1008" w:right="1152"/>
    </w:pPr>
    <w:rPr>
      <w:b/>
      <w:bCs/>
      <w:i/>
      <w:iCs/>
      <w:lang w:bidi="en-US"/>
    </w:rPr>
  </w:style>
  <w:style w:type="character" w:customStyle="1" w:styleId="CytatintensywnyZnak">
    <w:name w:val="Cytat intensywny Znak"/>
    <w:basedOn w:val="Domylnaczcionkaakapitu"/>
    <w:link w:val="Cytatintensywny"/>
    <w:uiPriority w:val="98"/>
    <w:semiHidden/>
    <w:rsid w:val="009A7E81"/>
    <w:rPr>
      <w:b/>
      <w:bCs/>
      <w:i/>
      <w:iCs/>
      <w:sz w:val="24"/>
      <w:szCs w:val="24"/>
      <w:lang w:val="fr-FR" w:bidi="en-US"/>
    </w:rPr>
  </w:style>
  <w:style w:type="character" w:styleId="Odwoanieintensywne">
    <w:name w:val="Intense Reference"/>
    <w:uiPriority w:val="98"/>
    <w:semiHidden/>
    <w:qFormat/>
    <w:rsid w:val="009A7E81"/>
    <w:rPr>
      <w:smallCaps/>
      <w:spacing w:val="5"/>
      <w:u w:val="single"/>
    </w:rPr>
  </w:style>
  <w:style w:type="paragraph" w:styleId="Akapitzlist">
    <w:name w:val="List Paragraph"/>
    <w:basedOn w:val="Normalny"/>
    <w:uiPriority w:val="99"/>
    <w:qFormat/>
    <w:rsid w:val="009A7E81"/>
    <w:pPr>
      <w:ind w:left="720"/>
      <w:contextualSpacing/>
    </w:pPr>
  </w:style>
  <w:style w:type="table" w:customStyle="1" w:styleId="LtrTableAddress">
    <w:name w:val="Ltr_Table_Address"/>
    <w:aliases w:val="ECHR_Ltr_Table_Address"/>
    <w:basedOn w:val="Standardowy"/>
    <w:uiPriority w:val="99"/>
    <w:rsid w:val="009A7E81"/>
    <w:rPr>
      <w:sz w:val="24"/>
      <w:szCs w:val="24"/>
    </w:rPr>
    <w:tblPr>
      <w:tblInd w:w="5103" w:type="dxa"/>
    </w:tblPr>
  </w:style>
  <w:style w:type="paragraph" w:styleId="Cytat">
    <w:name w:val="Quote"/>
    <w:basedOn w:val="Normalny"/>
    <w:next w:val="Normalny"/>
    <w:link w:val="CytatZnak"/>
    <w:uiPriority w:val="98"/>
    <w:semiHidden/>
    <w:qFormat/>
    <w:rsid w:val="009A7E81"/>
    <w:pPr>
      <w:spacing w:before="200"/>
      <w:ind w:left="360" w:right="360"/>
    </w:pPr>
    <w:rPr>
      <w:i/>
      <w:iCs/>
      <w:lang w:bidi="en-US"/>
    </w:rPr>
  </w:style>
  <w:style w:type="character" w:customStyle="1" w:styleId="CytatZnak">
    <w:name w:val="Cytat Znak"/>
    <w:basedOn w:val="Domylnaczcionkaakapitu"/>
    <w:link w:val="Cytat"/>
    <w:uiPriority w:val="98"/>
    <w:semiHidden/>
    <w:rsid w:val="009A7E81"/>
    <w:rPr>
      <w:i/>
      <w:iCs/>
      <w:sz w:val="24"/>
      <w:szCs w:val="24"/>
      <w:lang w:val="fr-FR" w:bidi="en-US"/>
    </w:rPr>
  </w:style>
  <w:style w:type="character" w:styleId="Odwoaniedelikatne">
    <w:name w:val="Subtle Reference"/>
    <w:uiPriority w:val="98"/>
    <w:semiHidden/>
    <w:qFormat/>
    <w:rsid w:val="009A7E81"/>
    <w:rPr>
      <w:smallCaps/>
    </w:rPr>
  </w:style>
  <w:style w:type="table" w:styleId="Tabela-Siatka">
    <w:name w:val="Table Grid"/>
    <w:basedOn w:val="Standardowy"/>
    <w:uiPriority w:val="59"/>
    <w:semiHidden/>
    <w:rsid w:val="009A7E8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8"/>
    <w:semiHidden/>
    <w:rsid w:val="009A7E81"/>
    <w:pPr>
      <w:keepNext/>
      <w:tabs>
        <w:tab w:val="right" w:leader="dot" w:pos="7371"/>
      </w:tabs>
      <w:spacing w:before="160" w:after="60" w:line="240" w:lineRule="exact"/>
      <w:ind w:left="340" w:right="567" w:hanging="340"/>
    </w:pPr>
    <w:rPr>
      <w:b/>
      <w:sz w:val="22"/>
    </w:rPr>
  </w:style>
  <w:style w:type="paragraph" w:styleId="Spistreci2">
    <w:name w:val="toc 2"/>
    <w:basedOn w:val="Normalny"/>
    <w:next w:val="Normalny"/>
    <w:autoRedefine/>
    <w:uiPriority w:val="98"/>
    <w:semiHidden/>
    <w:rsid w:val="009A7E81"/>
    <w:pPr>
      <w:keepNext/>
      <w:tabs>
        <w:tab w:val="right" w:leader="dot" w:pos="7371"/>
      </w:tabs>
      <w:spacing w:after="60" w:line="240" w:lineRule="exact"/>
      <w:ind w:left="680" w:right="567" w:hanging="340"/>
    </w:pPr>
    <w:rPr>
      <w:sz w:val="22"/>
    </w:rPr>
  </w:style>
  <w:style w:type="paragraph" w:styleId="Spistreci3">
    <w:name w:val="toc 3"/>
    <w:basedOn w:val="Normalny"/>
    <w:next w:val="Normalny"/>
    <w:autoRedefine/>
    <w:uiPriority w:val="98"/>
    <w:semiHidden/>
    <w:rsid w:val="009A7E81"/>
    <w:pPr>
      <w:keepNext/>
      <w:tabs>
        <w:tab w:val="right" w:leader="dot" w:pos="7371"/>
      </w:tabs>
      <w:spacing w:after="60" w:line="240" w:lineRule="exact"/>
      <w:ind w:left="1020" w:right="567" w:hanging="340"/>
    </w:pPr>
    <w:rPr>
      <w:sz w:val="20"/>
    </w:rPr>
  </w:style>
  <w:style w:type="paragraph" w:styleId="Spistreci4">
    <w:name w:val="toc 4"/>
    <w:basedOn w:val="Normalny"/>
    <w:next w:val="Normalny"/>
    <w:autoRedefine/>
    <w:uiPriority w:val="98"/>
    <w:semiHidden/>
    <w:rsid w:val="009A7E81"/>
    <w:pPr>
      <w:keepNext/>
      <w:tabs>
        <w:tab w:val="right" w:leader="dot" w:pos="7371"/>
      </w:tabs>
      <w:spacing w:after="60" w:line="240" w:lineRule="exact"/>
      <w:ind w:left="1361" w:right="567" w:hanging="340"/>
    </w:pPr>
    <w:rPr>
      <w:sz w:val="20"/>
    </w:rPr>
  </w:style>
  <w:style w:type="paragraph" w:styleId="Spistreci5">
    <w:name w:val="toc 5"/>
    <w:basedOn w:val="Normalny"/>
    <w:next w:val="Normalny"/>
    <w:autoRedefine/>
    <w:uiPriority w:val="98"/>
    <w:semiHidden/>
    <w:rsid w:val="009A7E81"/>
    <w:pPr>
      <w:tabs>
        <w:tab w:val="right" w:leader="dot" w:pos="7371"/>
      </w:tabs>
      <w:spacing w:after="60" w:line="240" w:lineRule="exact"/>
      <w:ind w:left="1701" w:right="567" w:hanging="340"/>
    </w:pPr>
    <w:rPr>
      <w:sz w:val="20"/>
    </w:rPr>
  </w:style>
  <w:style w:type="paragraph" w:styleId="Nagwekspisutreci">
    <w:name w:val="TOC Heading"/>
    <w:basedOn w:val="Normalny"/>
    <w:next w:val="Normalny"/>
    <w:uiPriority w:val="98"/>
    <w:semiHidden/>
    <w:qFormat/>
    <w:rsid w:val="009A7E8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Standardowy"/>
    <w:uiPriority w:val="99"/>
    <w:rsid w:val="009A7E8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Standardowy"/>
    <w:uiPriority w:val="99"/>
    <w:rsid w:val="009A7E8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Standardowy"/>
    <w:uiPriority w:val="99"/>
    <w:rsid w:val="009A7E8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9A7E8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9A7E8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Standardowy"/>
    <w:uiPriority w:val="99"/>
    <w:rsid w:val="009A7E8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8"/>
    <w:semiHidden/>
    <w:rsid w:val="009A7E8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Quot">
    <w:name w:val="Ju_Quot"/>
    <w:aliases w:val="_Quote"/>
    <w:basedOn w:val="NormalJustified"/>
    <w:uiPriority w:val="20"/>
    <w:qFormat/>
    <w:rsid w:val="009A7E81"/>
    <w:pPr>
      <w:spacing w:before="120" w:after="120"/>
      <w:ind w:left="425" w:firstLine="142"/>
    </w:pPr>
    <w:rPr>
      <w:sz w:val="20"/>
    </w:rPr>
  </w:style>
  <w:style w:type="table" w:customStyle="1" w:styleId="ECHRTableSimpleBox">
    <w:name w:val="ECHR_Table_Simple_Box"/>
    <w:basedOn w:val="Standardowy"/>
    <w:uiPriority w:val="99"/>
    <w:rsid w:val="009A7E8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9A7E8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Standardowy"/>
    <w:uiPriority w:val="99"/>
    <w:rsid w:val="009A7E8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9A7E8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Standardowy"/>
    <w:uiPriority w:val="99"/>
    <w:rsid w:val="009A7E8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Standardowy"/>
    <w:uiPriority w:val="99"/>
    <w:rsid w:val="009A7E81"/>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Standardowy"/>
    <w:uiPriority w:val="99"/>
    <w:rsid w:val="009A7E8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aliases w:val="_Signature"/>
    <w:basedOn w:val="Normalny"/>
    <w:next w:val="JuPara"/>
    <w:uiPriority w:val="31"/>
    <w:qFormat/>
    <w:rsid w:val="009A7E81"/>
    <w:pPr>
      <w:tabs>
        <w:tab w:val="center" w:pos="851"/>
        <w:tab w:val="center" w:pos="6407"/>
      </w:tabs>
      <w:spacing w:before="720"/>
    </w:pPr>
  </w:style>
  <w:style w:type="paragraph" w:customStyle="1" w:styleId="JuParaLast">
    <w:name w:val="Ju_Para_Last"/>
    <w:aliases w:val="_Para_Spaced"/>
    <w:basedOn w:val="NormalJustified"/>
    <w:uiPriority w:val="5"/>
    <w:qFormat/>
    <w:rsid w:val="009A7E81"/>
    <w:pPr>
      <w:keepNext/>
      <w:keepLines/>
      <w:spacing w:before="240" w:after="240"/>
      <w:ind w:firstLine="284"/>
    </w:pPr>
  </w:style>
  <w:style w:type="paragraph" w:customStyle="1" w:styleId="JuCase">
    <w:name w:val="Ju_Case"/>
    <w:aliases w:val="_Case_Name"/>
    <w:basedOn w:val="Normalny"/>
    <w:next w:val="JuPara"/>
    <w:uiPriority w:val="32"/>
    <w:rsid w:val="009A7E81"/>
    <w:pPr>
      <w:ind w:firstLine="284"/>
      <w:jc w:val="both"/>
    </w:pPr>
    <w:rPr>
      <w:b/>
    </w:rPr>
  </w:style>
  <w:style w:type="paragraph" w:customStyle="1" w:styleId="JuList">
    <w:name w:val="Ju_List"/>
    <w:aliases w:val="_List_1"/>
    <w:basedOn w:val="NormalJustified"/>
    <w:uiPriority w:val="23"/>
    <w:qFormat/>
    <w:rsid w:val="009A7E81"/>
    <w:pPr>
      <w:numPr>
        <w:numId w:val="6"/>
      </w:numPr>
      <w:spacing w:before="280" w:after="60"/>
    </w:pPr>
  </w:style>
  <w:style w:type="character" w:styleId="Numerstrony">
    <w:name w:val="page number"/>
    <w:uiPriority w:val="98"/>
    <w:semiHidden/>
    <w:rsid w:val="009A7E81"/>
    <w:rPr>
      <w:sz w:val="18"/>
    </w:rPr>
  </w:style>
  <w:style w:type="paragraph" w:customStyle="1" w:styleId="JuLista">
    <w:name w:val="Ju_List_a"/>
    <w:aliases w:val="_List_2"/>
    <w:basedOn w:val="NormalJustified"/>
    <w:uiPriority w:val="23"/>
    <w:rsid w:val="009A7E81"/>
    <w:pPr>
      <w:numPr>
        <w:ilvl w:val="1"/>
        <w:numId w:val="6"/>
      </w:numPr>
    </w:pPr>
  </w:style>
  <w:style w:type="paragraph" w:customStyle="1" w:styleId="JuListi">
    <w:name w:val="Ju_List_i"/>
    <w:aliases w:val="_List_3"/>
    <w:basedOn w:val="NormalJustified"/>
    <w:uiPriority w:val="23"/>
    <w:rsid w:val="009A7E81"/>
    <w:pPr>
      <w:numPr>
        <w:ilvl w:val="2"/>
        <w:numId w:val="6"/>
      </w:numPr>
    </w:pPr>
  </w:style>
  <w:style w:type="character" w:styleId="Odwoaniedokomentarza">
    <w:name w:val="annotation reference"/>
    <w:basedOn w:val="Domylnaczcionkaakapitu"/>
    <w:uiPriority w:val="98"/>
    <w:semiHidden/>
    <w:rsid w:val="009A7E81"/>
    <w:rPr>
      <w:sz w:val="16"/>
      <w:szCs w:val="16"/>
    </w:rPr>
  </w:style>
  <w:style w:type="paragraph" w:styleId="Tekstkomentarza">
    <w:name w:val="annotation text"/>
    <w:basedOn w:val="Normalny"/>
    <w:link w:val="TekstkomentarzaZnak"/>
    <w:uiPriority w:val="98"/>
    <w:semiHidden/>
    <w:rsid w:val="009A7E81"/>
    <w:rPr>
      <w:sz w:val="20"/>
      <w:szCs w:val="20"/>
    </w:rPr>
  </w:style>
  <w:style w:type="character" w:customStyle="1" w:styleId="TekstkomentarzaZnak">
    <w:name w:val="Tekst komentarza Znak"/>
    <w:basedOn w:val="Domylnaczcionkaakapitu"/>
    <w:link w:val="Tekstkomentarza"/>
    <w:uiPriority w:val="98"/>
    <w:semiHidden/>
    <w:rsid w:val="009A7E81"/>
    <w:rPr>
      <w:sz w:val="20"/>
      <w:szCs w:val="20"/>
      <w:lang w:val="fr-FR"/>
    </w:rPr>
  </w:style>
  <w:style w:type="character" w:styleId="Odwoanieprzypisukocowego">
    <w:name w:val="endnote reference"/>
    <w:basedOn w:val="Domylnaczcionkaakapitu"/>
    <w:uiPriority w:val="98"/>
    <w:semiHidden/>
    <w:rsid w:val="009A7E81"/>
    <w:rPr>
      <w:vertAlign w:val="superscript"/>
    </w:rPr>
  </w:style>
  <w:style w:type="paragraph" w:styleId="Tekstprzypisukocowego">
    <w:name w:val="endnote text"/>
    <w:basedOn w:val="Normalny"/>
    <w:link w:val="TekstprzypisukocowegoZnak"/>
    <w:uiPriority w:val="98"/>
    <w:semiHidden/>
    <w:rsid w:val="009A7E81"/>
    <w:rPr>
      <w:sz w:val="20"/>
      <w:szCs w:val="20"/>
    </w:rPr>
  </w:style>
  <w:style w:type="character" w:customStyle="1" w:styleId="TekstprzypisukocowegoZnak">
    <w:name w:val="Tekst przypisu końcowego Znak"/>
    <w:basedOn w:val="Domylnaczcionkaakapitu"/>
    <w:link w:val="Tekstprzypisukocowego"/>
    <w:uiPriority w:val="98"/>
    <w:semiHidden/>
    <w:rsid w:val="009A7E81"/>
    <w:rPr>
      <w:sz w:val="20"/>
      <w:szCs w:val="20"/>
      <w:lang w:val="fr-FR"/>
    </w:rPr>
  </w:style>
  <w:style w:type="character" w:styleId="UyteHipercze">
    <w:name w:val="FollowedHyperlink"/>
    <w:basedOn w:val="Domylnaczcionkaakapitu"/>
    <w:uiPriority w:val="98"/>
    <w:semiHidden/>
    <w:rsid w:val="009A7E81"/>
    <w:rPr>
      <w:color w:val="7030A0" w:themeColor="followedHyperlink"/>
      <w:u w:val="single"/>
    </w:rPr>
  </w:style>
  <w:style w:type="paragraph" w:styleId="Listapunktowana">
    <w:name w:val="List Bullet"/>
    <w:basedOn w:val="Normalny"/>
    <w:uiPriority w:val="98"/>
    <w:semiHidden/>
    <w:rsid w:val="009A7E81"/>
    <w:pPr>
      <w:numPr>
        <w:numId w:val="8"/>
      </w:numPr>
    </w:pPr>
  </w:style>
  <w:style w:type="character" w:customStyle="1" w:styleId="JuNames0">
    <w:name w:val="Ju_Names"/>
    <w:rsid w:val="00E77CB3"/>
    <w:rPr>
      <w:rFonts w:ascii="Times New Roman" w:hAnsi="Times New Roman" w:cs="Times New Roman"/>
      <w:smallCaps/>
    </w:rPr>
  </w:style>
  <w:style w:type="paragraph" w:styleId="Tematkomentarza">
    <w:name w:val="annotation subject"/>
    <w:basedOn w:val="Tekstkomentarza"/>
    <w:next w:val="Tekstkomentarza"/>
    <w:link w:val="TematkomentarzaZnak"/>
    <w:uiPriority w:val="98"/>
    <w:semiHidden/>
    <w:rsid w:val="009A7E81"/>
    <w:rPr>
      <w:b/>
      <w:bCs/>
    </w:rPr>
  </w:style>
  <w:style w:type="character" w:customStyle="1" w:styleId="TematkomentarzaZnak">
    <w:name w:val="Temat komentarza Znak"/>
    <w:basedOn w:val="TekstkomentarzaZnak"/>
    <w:link w:val="Tematkomentarza"/>
    <w:uiPriority w:val="98"/>
    <w:semiHidden/>
    <w:rsid w:val="009A7E81"/>
    <w:rPr>
      <w:b/>
      <w:bCs/>
      <w:sz w:val="20"/>
      <w:szCs w:val="20"/>
      <w:lang w:val="fr-FR"/>
    </w:rPr>
  </w:style>
  <w:style w:type="paragraph" w:styleId="Mapadokumentu">
    <w:name w:val="Document Map"/>
    <w:basedOn w:val="Normalny"/>
    <w:link w:val="MapadokumentuZnak"/>
    <w:uiPriority w:val="98"/>
    <w:semiHidden/>
    <w:rsid w:val="009A7E81"/>
    <w:rPr>
      <w:rFonts w:ascii="Tahoma" w:hAnsi="Tahoma" w:cs="Tahoma"/>
      <w:sz w:val="16"/>
      <w:szCs w:val="16"/>
    </w:rPr>
  </w:style>
  <w:style w:type="character" w:customStyle="1" w:styleId="MapadokumentuZnak">
    <w:name w:val="Mapa dokumentu Znak"/>
    <w:basedOn w:val="Domylnaczcionkaakapitu"/>
    <w:link w:val="Mapadokumentu"/>
    <w:uiPriority w:val="98"/>
    <w:semiHidden/>
    <w:rsid w:val="009A7E81"/>
    <w:rPr>
      <w:rFonts w:ascii="Tahoma" w:hAnsi="Tahoma" w:cs="Tahoma"/>
      <w:sz w:val="16"/>
      <w:szCs w:val="16"/>
      <w:lang w:val="fr-FR"/>
    </w:rPr>
  </w:style>
  <w:style w:type="character" w:customStyle="1" w:styleId="JuITMark">
    <w:name w:val="Ju_ITMark"/>
    <w:aliases w:val="_ITMark"/>
    <w:basedOn w:val="Domylnaczcionkaakapitu"/>
    <w:uiPriority w:val="54"/>
    <w:qFormat/>
    <w:rsid w:val="009A7E81"/>
    <w:rPr>
      <w:vanish w:val="0"/>
      <w:color w:val="auto"/>
      <w:sz w:val="14"/>
      <w:bdr w:val="none" w:sz="0" w:space="0" w:color="auto"/>
      <w:shd w:val="clear" w:color="auto" w:fill="BEE5FF" w:themeFill="background1" w:themeFillTint="33"/>
    </w:rPr>
  </w:style>
  <w:style w:type="paragraph" w:styleId="Podtytu">
    <w:name w:val="Subtitle"/>
    <w:basedOn w:val="Normalny"/>
    <w:next w:val="Normalny"/>
    <w:link w:val="PodtytuZnak"/>
    <w:uiPriority w:val="98"/>
    <w:semiHidden/>
    <w:qFormat/>
    <w:rsid w:val="009A7E81"/>
    <w:pPr>
      <w:spacing w:after="600"/>
    </w:pPr>
    <w:rPr>
      <w:rFonts w:asciiTheme="majorHAnsi" w:eastAsiaTheme="majorEastAsia" w:hAnsiTheme="majorHAnsi" w:cstheme="majorBidi"/>
      <w:i/>
      <w:iCs/>
      <w:spacing w:val="13"/>
      <w:lang w:bidi="en-US"/>
    </w:rPr>
  </w:style>
  <w:style w:type="character" w:customStyle="1" w:styleId="PodtytuZnak">
    <w:name w:val="Podtytuł Znak"/>
    <w:basedOn w:val="Domylnaczcionkaakapitu"/>
    <w:link w:val="Podtytu"/>
    <w:uiPriority w:val="98"/>
    <w:semiHidden/>
    <w:rsid w:val="009A7E81"/>
    <w:rPr>
      <w:rFonts w:asciiTheme="majorHAnsi" w:eastAsiaTheme="majorEastAsia" w:hAnsiTheme="majorHAnsi" w:cstheme="majorBidi"/>
      <w:i/>
      <w:iCs/>
      <w:spacing w:val="13"/>
      <w:sz w:val="24"/>
      <w:szCs w:val="24"/>
      <w:lang w:val="fr-FR" w:bidi="en-US"/>
    </w:rPr>
  </w:style>
  <w:style w:type="numbering" w:styleId="111111">
    <w:name w:val="Outline List 2"/>
    <w:basedOn w:val="Bezlisty"/>
    <w:uiPriority w:val="99"/>
    <w:semiHidden/>
    <w:unhideWhenUsed/>
    <w:rsid w:val="009A7E81"/>
    <w:pPr>
      <w:numPr>
        <w:numId w:val="2"/>
      </w:numPr>
    </w:pPr>
  </w:style>
  <w:style w:type="numbering" w:styleId="1ai">
    <w:name w:val="Outline List 1"/>
    <w:basedOn w:val="Bezlisty"/>
    <w:uiPriority w:val="99"/>
    <w:semiHidden/>
    <w:unhideWhenUsed/>
    <w:rsid w:val="009A7E81"/>
    <w:pPr>
      <w:numPr>
        <w:numId w:val="3"/>
      </w:numPr>
    </w:pPr>
  </w:style>
  <w:style w:type="numbering" w:styleId="Artykusekcja">
    <w:name w:val="Outline List 3"/>
    <w:basedOn w:val="Bezlisty"/>
    <w:uiPriority w:val="99"/>
    <w:semiHidden/>
    <w:unhideWhenUsed/>
    <w:rsid w:val="009A7E81"/>
    <w:pPr>
      <w:numPr>
        <w:numId w:val="4"/>
      </w:numPr>
    </w:pPr>
  </w:style>
  <w:style w:type="paragraph" w:styleId="Bibliografia">
    <w:name w:val="Bibliography"/>
    <w:basedOn w:val="Normalny"/>
    <w:next w:val="Normalny"/>
    <w:uiPriority w:val="98"/>
    <w:semiHidden/>
    <w:rsid w:val="009A7E81"/>
  </w:style>
  <w:style w:type="paragraph" w:styleId="Tekstblokowy">
    <w:name w:val="Block Text"/>
    <w:basedOn w:val="Normalny"/>
    <w:uiPriority w:val="98"/>
    <w:semiHidden/>
    <w:rsid w:val="009A7E8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Tekstpodstawowy">
    <w:name w:val="Body Text"/>
    <w:basedOn w:val="Normalny"/>
    <w:link w:val="TekstpodstawowyZnak"/>
    <w:uiPriority w:val="98"/>
    <w:semiHidden/>
    <w:rsid w:val="009A7E81"/>
    <w:pPr>
      <w:spacing w:after="120"/>
    </w:pPr>
  </w:style>
  <w:style w:type="character" w:customStyle="1" w:styleId="TekstpodstawowyZnak">
    <w:name w:val="Tekst podstawowy Znak"/>
    <w:basedOn w:val="Domylnaczcionkaakapitu"/>
    <w:link w:val="Tekstpodstawowy"/>
    <w:uiPriority w:val="98"/>
    <w:semiHidden/>
    <w:rsid w:val="009A7E81"/>
    <w:rPr>
      <w:sz w:val="24"/>
      <w:szCs w:val="24"/>
      <w:lang w:val="fr-FR"/>
    </w:rPr>
  </w:style>
  <w:style w:type="paragraph" w:styleId="Tekstpodstawowy2">
    <w:name w:val="Body Text 2"/>
    <w:basedOn w:val="Normalny"/>
    <w:link w:val="Tekstpodstawowy2Znak"/>
    <w:uiPriority w:val="98"/>
    <w:semiHidden/>
    <w:rsid w:val="009A7E81"/>
    <w:pPr>
      <w:spacing w:after="120" w:line="480" w:lineRule="auto"/>
    </w:pPr>
  </w:style>
  <w:style w:type="character" w:customStyle="1" w:styleId="Tekstpodstawowy2Znak">
    <w:name w:val="Tekst podstawowy 2 Znak"/>
    <w:basedOn w:val="Domylnaczcionkaakapitu"/>
    <w:link w:val="Tekstpodstawowy2"/>
    <w:uiPriority w:val="98"/>
    <w:semiHidden/>
    <w:rsid w:val="009A7E81"/>
    <w:rPr>
      <w:sz w:val="24"/>
      <w:szCs w:val="24"/>
      <w:lang w:val="fr-FR"/>
    </w:rPr>
  </w:style>
  <w:style w:type="paragraph" w:styleId="Tekstpodstawowy3">
    <w:name w:val="Body Text 3"/>
    <w:basedOn w:val="Normalny"/>
    <w:link w:val="Tekstpodstawowy3Znak"/>
    <w:uiPriority w:val="98"/>
    <w:semiHidden/>
    <w:rsid w:val="009A7E81"/>
    <w:pPr>
      <w:spacing w:after="120"/>
    </w:pPr>
    <w:rPr>
      <w:sz w:val="16"/>
      <w:szCs w:val="16"/>
    </w:rPr>
  </w:style>
  <w:style w:type="character" w:customStyle="1" w:styleId="Tekstpodstawowy3Znak">
    <w:name w:val="Tekst podstawowy 3 Znak"/>
    <w:basedOn w:val="Domylnaczcionkaakapitu"/>
    <w:link w:val="Tekstpodstawowy3"/>
    <w:uiPriority w:val="98"/>
    <w:semiHidden/>
    <w:rsid w:val="009A7E81"/>
    <w:rPr>
      <w:sz w:val="16"/>
      <w:szCs w:val="16"/>
      <w:lang w:val="fr-FR"/>
    </w:rPr>
  </w:style>
  <w:style w:type="paragraph" w:styleId="Tekstpodstawowyzwciciem">
    <w:name w:val="Body Text First Indent"/>
    <w:basedOn w:val="Tekstpodstawowy"/>
    <w:link w:val="TekstpodstawowyzwciciemZnak"/>
    <w:uiPriority w:val="98"/>
    <w:semiHidden/>
    <w:rsid w:val="009A7E81"/>
    <w:pPr>
      <w:spacing w:after="0"/>
      <w:ind w:firstLine="360"/>
    </w:pPr>
  </w:style>
  <w:style w:type="character" w:customStyle="1" w:styleId="TekstpodstawowyzwciciemZnak">
    <w:name w:val="Tekst podstawowy z wcięciem Znak"/>
    <w:basedOn w:val="TekstpodstawowyZnak"/>
    <w:link w:val="Tekstpodstawowyzwciciem"/>
    <w:uiPriority w:val="98"/>
    <w:semiHidden/>
    <w:rsid w:val="009A7E81"/>
    <w:rPr>
      <w:sz w:val="24"/>
      <w:szCs w:val="24"/>
      <w:lang w:val="fr-FR"/>
    </w:rPr>
  </w:style>
  <w:style w:type="paragraph" w:styleId="Tekstpodstawowywcity">
    <w:name w:val="Body Text Indent"/>
    <w:basedOn w:val="Normalny"/>
    <w:link w:val="TekstpodstawowywcityZnak"/>
    <w:uiPriority w:val="98"/>
    <w:semiHidden/>
    <w:rsid w:val="009A7E81"/>
    <w:pPr>
      <w:spacing w:after="120"/>
      <w:ind w:left="283"/>
    </w:pPr>
  </w:style>
  <w:style w:type="character" w:customStyle="1" w:styleId="TekstpodstawowywcityZnak">
    <w:name w:val="Tekst podstawowy wcięty Znak"/>
    <w:basedOn w:val="Domylnaczcionkaakapitu"/>
    <w:link w:val="Tekstpodstawowywcity"/>
    <w:uiPriority w:val="98"/>
    <w:semiHidden/>
    <w:rsid w:val="009A7E81"/>
    <w:rPr>
      <w:sz w:val="24"/>
      <w:szCs w:val="24"/>
      <w:lang w:val="fr-FR"/>
    </w:rPr>
  </w:style>
  <w:style w:type="paragraph" w:styleId="Tekstpodstawowyzwciciem2">
    <w:name w:val="Body Text First Indent 2"/>
    <w:basedOn w:val="Tekstpodstawowywcity"/>
    <w:link w:val="Tekstpodstawowyzwciciem2Znak"/>
    <w:uiPriority w:val="98"/>
    <w:semiHidden/>
    <w:rsid w:val="009A7E81"/>
    <w:pPr>
      <w:spacing w:after="0"/>
      <w:ind w:left="360" w:firstLine="360"/>
    </w:pPr>
  </w:style>
  <w:style w:type="character" w:customStyle="1" w:styleId="Tekstpodstawowyzwciciem2Znak">
    <w:name w:val="Tekst podstawowy z wcięciem 2 Znak"/>
    <w:basedOn w:val="TekstpodstawowywcityZnak"/>
    <w:link w:val="Tekstpodstawowyzwciciem2"/>
    <w:uiPriority w:val="98"/>
    <w:semiHidden/>
    <w:rsid w:val="009A7E81"/>
    <w:rPr>
      <w:sz w:val="24"/>
      <w:szCs w:val="24"/>
      <w:lang w:val="fr-FR"/>
    </w:rPr>
  </w:style>
  <w:style w:type="paragraph" w:styleId="Tekstpodstawowywcity2">
    <w:name w:val="Body Text Indent 2"/>
    <w:basedOn w:val="Normalny"/>
    <w:link w:val="Tekstpodstawowywcity2Znak"/>
    <w:uiPriority w:val="98"/>
    <w:semiHidden/>
    <w:rsid w:val="009A7E81"/>
    <w:pPr>
      <w:spacing w:after="120" w:line="480" w:lineRule="auto"/>
      <w:ind w:left="283"/>
    </w:pPr>
  </w:style>
  <w:style w:type="character" w:customStyle="1" w:styleId="Tekstpodstawowywcity2Znak">
    <w:name w:val="Tekst podstawowy wcięty 2 Znak"/>
    <w:basedOn w:val="Domylnaczcionkaakapitu"/>
    <w:link w:val="Tekstpodstawowywcity2"/>
    <w:uiPriority w:val="98"/>
    <w:semiHidden/>
    <w:rsid w:val="009A7E81"/>
    <w:rPr>
      <w:sz w:val="24"/>
      <w:szCs w:val="24"/>
      <w:lang w:val="fr-FR"/>
    </w:rPr>
  </w:style>
  <w:style w:type="paragraph" w:styleId="Tekstpodstawowywcity3">
    <w:name w:val="Body Text Indent 3"/>
    <w:basedOn w:val="Normalny"/>
    <w:link w:val="Tekstpodstawowywcity3Znak"/>
    <w:uiPriority w:val="98"/>
    <w:semiHidden/>
    <w:rsid w:val="009A7E8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8"/>
    <w:semiHidden/>
    <w:rsid w:val="009A7E81"/>
    <w:rPr>
      <w:sz w:val="16"/>
      <w:szCs w:val="16"/>
      <w:lang w:val="fr-FR"/>
    </w:rPr>
  </w:style>
  <w:style w:type="paragraph" w:styleId="Legenda">
    <w:name w:val="caption"/>
    <w:basedOn w:val="Normalny"/>
    <w:next w:val="Normalny"/>
    <w:uiPriority w:val="98"/>
    <w:semiHidden/>
    <w:qFormat/>
    <w:rsid w:val="009A7E81"/>
    <w:pPr>
      <w:spacing w:after="200"/>
    </w:pPr>
    <w:rPr>
      <w:b/>
      <w:bCs/>
      <w:color w:val="0072BC" w:themeColor="accent1"/>
      <w:sz w:val="18"/>
      <w:szCs w:val="18"/>
    </w:rPr>
  </w:style>
  <w:style w:type="paragraph" w:styleId="Zwrotpoegnalny">
    <w:name w:val="Closing"/>
    <w:basedOn w:val="Normalny"/>
    <w:link w:val="ZwrotpoegnalnyZnak"/>
    <w:uiPriority w:val="98"/>
    <w:semiHidden/>
    <w:rsid w:val="009A7E81"/>
    <w:pPr>
      <w:ind w:left="4252"/>
    </w:pPr>
  </w:style>
  <w:style w:type="character" w:customStyle="1" w:styleId="ZwrotpoegnalnyZnak">
    <w:name w:val="Zwrot pożegnalny Znak"/>
    <w:basedOn w:val="Domylnaczcionkaakapitu"/>
    <w:link w:val="Zwrotpoegnalny"/>
    <w:uiPriority w:val="98"/>
    <w:semiHidden/>
    <w:rsid w:val="009A7E81"/>
    <w:rPr>
      <w:sz w:val="24"/>
      <w:szCs w:val="24"/>
      <w:lang w:val="fr-FR"/>
    </w:rPr>
  </w:style>
  <w:style w:type="table" w:styleId="Kolorowasiatka">
    <w:name w:val="Colorful Grid"/>
    <w:basedOn w:val="Standardowy"/>
    <w:uiPriority w:val="73"/>
    <w:semiHidden/>
    <w:rsid w:val="009A7E8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rsid w:val="009A7E8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73"/>
    <w:semiHidden/>
    <w:rsid w:val="009A7E8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73"/>
    <w:semiHidden/>
    <w:rsid w:val="009A7E8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73"/>
    <w:semiHidden/>
    <w:rsid w:val="009A7E8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73"/>
    <w:semiHidden/>
    <w:rsid w:val="009A7E8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73"/>
    <w:semiHidden/>
    <w:rsid w:val="009A7E8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olorowalista">
    <w:name w:val="Colorful List"/>
    <w:basedOn w:val="Standardowy"/>
    <w:uiPriority w:val="72"/>
    <w:semiHidden/>
    <w:rsid w:val="009A7E8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rsid w:val="009A7E8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72"/>
    <w:semiHidden/>
    <w:rsid w:val="009A7E8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72"/>
    <w:semiHidden/>
    <w:rsid w:val="009A7E8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72"/>
    <w:semiHidden/>
    <w:rsid w:val="009A7E8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72"/>
    <w:semiHidden/>
    <w:rsid w:val="009A7E8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72"/>
    <w:semiHidden/>
    <w:rsid w:val="009A7E8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olorowecieniowanie">
    <w:name w:val="Colorful Shading"/>
    <w:basedOn w:val="Standardowy"/>
    <w:uiPriority w:val="71"/>
    <w:semiHidden/>
    <w:rsid w:val="009A7E8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rsid w:val="009A7E8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rsid w:val="009A7E8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rsid w:val="009A7E8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71"/>
    <w:semiHidden/>
    <w:rsid w:val="009A7E8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rsid w:val="009A7E8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rsid w:val="009A7E8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Ciemnalista">
    <w:name w:val="Dark List"/>
    <w:basedOn w:val="Standardowy"/>
    <w:uiPriority w:val="70"/>
    <w:semiHidden/>
    <w:rsid w:val="009A7E8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rsid w:val="009A7E8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70"/>
    <w:semiHidden/>
    <w:rsid w:val="009A7E8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70"/>
    <w:semiHidden/>
    <w:rsid w:val="009A7E8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70"/>
    <w:semiHidden/>
    <w:rsid w:val="009A7E8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70"/>
    <w:semiHidden/>
    <w:rsid w:val="009A7E8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70"/>
    <w:semiHidden/>
    <w:rsid w:val="009A7E8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8"/>
    <w:semiHidden/>
    <w:rsid w:val="009A7E81"/>
  </w:style>
  <w:style w:type="character" w:customStyle="1" w:styleId="DataZnak">
    <w:name w:val="Data Znak"/>
    <w:basedOn w:val="Domylnaczcionkaakapitu"/>
    <w:link w:val="Data"/>
    <w:uiPriority w:val="98"/>
    <w:semiHidden/>
    <w:rsid w:val="009A7E81"/>
    <w:rPr>
      <w:sz w:val="24"/>
      <w:szCs w:val="24"/>
      <w:lang w:val="fr-FR"/>
    </w:rPr>
  </w:style>
  <w:style w:type="paragraph" w:styleId="Podpise-mail">
    <w:name w:val="E-mail Signature"/>
    <w:basedOn w:val="Normalny"/>
    <w:link w:val="Podpise-mailZnak"/>
    <w:uiPriority w:val="98"/>
    <w:semiHidden/>
    <w:rsid w:val="009A7E81"/>
  </w:style>
  <w:style w:type="character" w:customStyle="1" w:styleId="Podpise-mailZnak">
    <w:name w:val="Podpis e-mail Znak"/>
    <w:basedOn w:val="Domylnaczcionkaakapitu"/>
    <w:link w:val="Podpise-mail"/>
    <w:uiPriority w:val="98"/>
    <w:semiHidden/>
    <w:rsid w:val="009A7E81"/>
    <w:rPr>
      <w:sz w:val="24"/>
      <w:szCs w:val="24"/>
      <w:lang w:val="fr-FR"/>
    </w:rPr>
  </w:style>
  <w:style w:type="paragraph" w:styleId="Adresnakopercie">
    <w:name w:val="envelope address"/>
    <w:basedOn w:val="Normalny"/>
    <w:uiPriority w:val="98"/>
    <w:semiHidden/>
    <w:rsid w:val="009A7E81"/>
    <w:pPr>
      <w:framePr w:w="7938" w:h="1985" w:hRule="exact" w:hSpace="141" w:wrap="auto" w:hAnchor="page" w:xAlign="center" w:yAlign="bottom"/>
      <w:ind w:left="2835"/>
    </w:pPr>
    <w:rPr>
      <w:rFonts w:asciiTheme="majorHAnsi" w:eastAsiaTheme="majorEastAsia" w:hAnsiTheme="majorHAnsi" w:cstheme="majorBidi"/>
    </w:rPr>
  </w:style>
  <w:style w:type="paragraph" w:styleId="Adreszwrotnynakopercie">
    <w:name w:val="envelope return"/>
    <w:basedOn w:val="Normalny"/>
    <w:uiPriority w:val="98"/>
    <w:semiHidden/>
    <w:rsid w:val="009A7E81"/>
    <w:rPr>
      <w:rFonts w:asciiTheme="majorHAnsi" w:eastAsiaTheme="majorEastAsia" w:hAnsiTheme="majorHAnsi" w:cstheme="majorBidi"/>
      <w:sz w:val="20"/>
      <w:szCs w:val="20"/>
    </w:rPr>
  </w:style>
  <w:style w:type="character" w:styleId="HTML-akronim">
    <w:name w:val="HTML Acronym"/>
    <w:basedOn w:val="Domylnaczcionkaakapitu"/>
    <w:uiPriority w:val="98"/>
    <w:semiHidden/>
    <w:rsid w:val="009A7E81"/>
  </w:style>
  <w:style w:type="paragraph" w:styleId="HTML-adres">
    <w:name w:val="HTML Address"/>
    <w:basedOn w:val="Normalny"/>
    <w:link w:val="HTML-adresZnak"/>
    <w:uiPriority w:val="98"/>
    <w:semiHidden/>
    <w:rsid w:val="009A7E81"/>
    <w:rPr>
      <w:i/>
      <w:iCs/>
    </w:rPr>
  </w:style>
  <w:style w:type="character" w:customStyle="1" w:styleId="HTML-adresZnak">
    <w:name w:val="HTML - adres Znak"/>
    <w:basedOn w:val="Domylnaczcionkaakapitu"/>
    <w:link w:val="HTML-adres"/>
    <w:uiPriority w:val="98"/>
    <w:semiHidden/>
    <w:rsid w:val="009A7E81"/>
    <w:rPr>
      <w:i/>
      <w:iCs/>
      <w:sz w:val="24"/>
      <w:szCs w:val="24"/>
      <w:lang w:val="fr-FR"/>
    </w:rPr>
  </w:style>
  <w:style w:type="character" w:styleId="HTML-cytat">
    <w:name w:val="HTML Cite"/>
    <w:basedOn w:val="Domylnaczcionkaakapitu"/>
    <w:uiPriority w:val="98"/>
    <w:semiHidden/>
    <w:rsid w:val="009A7E81"/>
    <w:rPr>
      <w:i/>
      <w:iCs/>
    </w:rPr>
  </w:style>
  <w:style w:type="character" w:styleId="HTML-kod">
    <w:name w:val="HTML Code"/>
    <w:basedOn w:val="Domylnaczcionkaakapitu"/>
    <w:uiPriority w:val="98"/>
    <w:semiHidden/>
    <w:rsid w:val="009A7E81"/>
    <w:rPr>
      <w:rFonts w:ascii="Consolas" w:hAnsi="Consolas" w:cs="Consolas"/>
      <w:sz w:val="20"/>
      <w:szCs w:val="20"/>
    </w:rPr>
  </w:style>
  <w:style w:type="character" w:styleId="HTML-definicja">
    <w:name w:val="HTML Definition"/>
    <w:basedOn w:val="Domylnaczcionkaakapitu"/>
    <w:uiPriority w:val="98"/>
    <w:semiHidden/>
    <w:rsid w:val="009A7E81"/>
    <w:rPr>
      <w:i/>
      <w:iCs/>
    </w:rPr>
  </w:style>
  <w:style w:type="character" w:styleId="HTML-klawiatura">
    <w:name w:val="HTML Keyboard"/>
    <w:basedOn w:val="Domylnaczcionkaakapitu"/>
    <w:uiPriority w:val="98"/>
    <w:semiHidden/>
    <w:rsid w:val="009A7E81"/>
    <w:rPr>
      <w:rFonts w:ascii="Consolas" w:hAnsi="Consolas" w:cs="Consolas"/>
      <w:sz w:val="20"/>
      <w:szCs w:val="20"/>
    </w:rPr>
  </w:style>
  <w:style w:type="paragraph" w:styleId="HTML-wstpniesformatowany">
    <w:name w:val="HTML Preformatted"/>
    <w:basedOn w:val="Normalny"/>
    <w:link w:val="HTML-wstpniesformatowanyZnak"/>
    <w:uiPriority w:val="98"/>
    <w:semiHidden/>
    <w:rsid w:val="009A7E81"/>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8"/>
    <w:semiHidden/>
    <w:rsid w:val="009A7E81"/>
    <w:rPr>
      <w:rFonts w:ascii="Consolas" w:hAnsi="Consolas" w:cs="Consolas"/>
      <w:sz w:val="20"/>
      <w:szCs w:val="20"/>
      <w:lang w:val="fr-FR"/>
    </w:rPr>
  </w:style>
  <w:style w:type="character" w:styleId="HTML-przykad">
    <w:name w:val="HTML Sample"/>
    <w:basedOn w:val="Domylnaczcionkaakapitu"/>
    <w:uiPriority w:val="98"/>
    <w:semiHidden/>
    <w:rsid w:val="009A7E81"/>
    <w:rPr>
      <w:rFonts w:ascii="Consolas" w:hAnsi="Consolas" w:cs="Consolas"/>
      <w:sz w:val="24"/>
      <w:szCs w:val="24"/>
    </w:rPr>
  </w:style>
  <w:style w:type="character" w:styleId="HTML-staaszeroko">
    <w:name w:val="HTML Typewriter"/>
    <w:basedOn w:val="Domylnaczcionkaakapitu"/>
    <w:uiPriority w:val="98"/>
    <w:semiHidden/>
    <w:rsid w:val="009A7E81"/>
    <w:rPr>
      <w:rFonts w:ascii="Consolas" w:hAnsi="Consolas" w:cs="Consolas"/>
      <w:sz w:val="20"/>
      <w:szCs w:val="20"/>
    </w:rPr>
  </w:style>
  <w:style w:type="character" w:styleId="HTML-zmienna">
    <w:name w:val="HTML Variable"/>
    <w:basedOn w:val="Domylnaczcionkaakapitu"/>
    <w:uiPriority w:val="98"/>
    <w:semiHidden/>
    <w:rsid w:val="009A7E81"/>
    <w:rPr>
      <w:i/>
      <w:iCs/>
    </w:rPr>
  </w:style>
  <w:style w:type="paragraph" w:styleId="Indeks1">
    <w:name w:val="index 1"/>
    <w:basedOn w:val="Normalny"/>
    <w:next w:val="Normalny"/>
    <w:autoRedefine/>
    <w:uiPriority w:val="98"/>
    <w:semiHidden/>
    <w:rsid w:val="009A7E81"/>
    <w:pPr>
      <w:ind w:left="240" w:hanging="240"/>
    </w:pPr>
  </w:style>
  <w:style w:type="paragraph" w:styleId="Indeks2">
    <w:name w:val="index 2"/>
    <w:basedOn w:val="Normalny"/>
    <w:next w:val="Normalny"/>
    <w:autoRedefine/>
    <w:uiPriority w:val="98"/>
    <w:semiHidden/>
    <w:rsid w:val="009A7E81"/>
    <w:pPr>
      <w:ind w:left="480" w:hanging="240"/>
    </w:pPr>
  </w:style>
  <w:style w:type="paragraph" w:styleId="Indeks3">
    <w:name w:val="index 3"/>
    <w:basedOn w:val="Normalny"/>
    <w:next w:val="Normalny"/>
    <w:autoRedefine/>
    <w:uiPriority w:val="98"/>
    <w:semiHidden/>
    <w:rsid w:val="009A7E81"/>
    <w:pPr>
      <w:ind w:left="720" w:hanging="240"/>
    </w:pPr>
  </w:style>
  <w:style w:type="paragraph" w:styleId="Indeks4">
    <w:name w:val="index 4"/>
    <w:basedOn w:val="Normalny"/>
    <w:next w:val="Normalny"/>
    <w:autoRedefine/>
    <w:uiPriority w:val="98"/>
    <w:semiHidden/>
    <w:rsid w:val="009A7E81"/>
    <w:pPr>
      <w:ind w:left="960" w:hanging="240"/>
    </w:pPr>
  </w:style>
  <w:style w:type="paragraph" w:styleId="Indeks5">
    <w:name w:val="index 5"/>
    <w:basedOn w:val="Normalny"/>
    <w:next w:val="Normalny"/>
    <w:autoRedefine/>
    <w:uiPriority w:val="98"/>
    <w:semiHidden/>
    <w:rsid w:val="009A7E81"/>
    <w:pPr>
      <w:ind w:left="1200" w:hanging="240"/>
    </w:pPr>
  </w:style>
  <w:style w:type="paragraph" w:styleId="Indeks6">
    <w:name w:val="index 6"/>
    <w:basedOn w:val="Normalny"/>
    <w:next w:val="Normalny"/>
    <w:autoRedefine/>
    <w:uiPriority w:val="98"/>
    <w:semiHidden/>
    <w:rsid w:val="009A7E81"/>
    <w:pPr>
      <w:ind w:left="1440" w:hanging="240"/>
    </w:pPr>
  </w:style>
  <w:style w:type="paragraph" w:styleId="Indeks7">
    <w:name w:val="index 7"/>
    <w:basedOn w:val="Normalny"/>
    <w:next w:val="Normalny"/>
    <w:autoRedefine/>
    <w:uiPriority w:val="98"/>
    <w:semiHidden/>
    <w:rsid w:val="009A7E81"/>
    <w:pPr>
      <w:ind w:left="1680" w:hanging="240"/>
    </w:pPr>
  </w:style>
  <w:style w:type="paragraph" w:styleId="Indeks8">
    <w:name w:val="index 8"/>
    <w:basedOn w:val="Normalny"/>
    <w:next w:val="Normalny"/>
    <w:autoRedefine/>
    <w:uiPriority w:val="98"/>
    <w:semiHidden/>
    <w:rsid w:val="009A7E81"/>
    <w:pPr>
      <w:ind w:left="1920" w:hanging="240"/>
    </w:pPr>
  </w:style>
  <w:style w:type="paragraph" w:styleId="Indeks9">
    <w:name w:val="index 9"/>
    <w:basedOn w:val="Normalny"/>
    <w:next w:val="Normalny"/>
    <w:autoRedefine/>
    <w:uiPriority w:val="98"/>
    <w:semiHidden/>
    <w:rsid w:val="009A7E81"/>
    <w:pPr>
      <w:ind w:left="2160" w:hanging="240"/>
    </w:pPr>
  </w:style>
  <w:style w:type="paragraph" w:styleId="Nagwekindeksu">
    <w:name w:val="index heading"/>
    <w:basedOn w:val="Normalny"/>
    <w:next w:val="Indeks1"/>
    <w:uiPriority w:val="98"/>
    <w:semiHidden/>
    <w:rsid w:val="009A7E81"/>
    <w:rPr>
      <w:rFonts w:asciiTheme="majorHAnsi" w:eastAsiaTheme="majorEastAsia" w:hAnsiTheme="majorHAnsi" w:cstheme="majorBidi"/>
      <w:b/>
      <w:bCs/>
    </w:rPr>
  </w:style>
  <w:style w:type="table" w:styleId="Jasnasiatka">
    <w:name w:val="Light Grid"/>
    <w:basedOn w:val="Standardowy"/>
    <w:uiPriority w:val="62"/>
    <w:semiHidden/>
    <w:rsid w:val="009A7E8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rsid w:val="009A7E8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62"/>
    <w:semiHidden/>
    <w:rsid w:val="009A7E8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62"/>
    <w:semiHidden/>
    <w:rsid w:val="009A7E8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62"/>
    <w:semiHidden/>
    <w:rsid w:val="009A7E8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62"/>
    <w:semiHidden/>
    <w:rsid w:val="009A7E8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62"/>
    <w:semiHidden/>
    <w:rsid w:val="009A7E8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Jasnalista">
    <w:name w:val="Light List"/>
    <w:basedOn w:val="Standardowy"/>
    <w:uiPriority w:val="61"/>
    <w:semiHidden/>
    <w:rsid w:val="009A7E8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rsid w:val="009A7E8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61"/>
    <w:semiHidden/>
    <w:rsid w:val="009A7E8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61"/>
    <w:semiHidden/>
    <w:rsid w:val="009A7E8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61"/>
    <w:semiHidden/>
    <w:rsid w:val="009A7E8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61"/>
    <w:semiHidden/>
    <w:rsid w:val="009A7E8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61"/>
    <w:semiHidden/>
    <w:rsid w:val="009A7E8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Jasnecieniowanie">
    <w:name w:val="Light Shading"/>
    <w:basedOn w:val="Standardowy"/>
    <w:uiPriority w:val="60"/>
    <w:semiHidden/>
    <w:rsid w:val="009A7E8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rsid w:val="009A7E8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60"/>
    <w:semiHidden/>
    <w:rsid w:val="009A7E8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60"/>
    <w:semiHidden/>
    <w:rsid w:val="009A7E8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60"/>
    <w:semiHidden/>
    <w:rsid w:val="009A7E8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60"/>
    <w:semiHidden/>
    <w:rsid w:val="009A7E8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60"/>
    <w:semiHidden/>
    <w:rsid w:val="009A7E8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8"/>
    <w:semiHidden/>
    <w:rsid w:val="009A7E81"/>
  </w:style>
  <w:style w:type="paragraph" w:styleId="Lista">
    <w:name w:val="List"/>
    <w:basedOn w:val="Normalny"/>
    <w:uiPriority w:val="98"/>
    <w:semiHidden/>
    <w:rsid w:val="009A7E81"/>
    <w:pPr>
      <w:ind w:left="283" w:hanging="283"/>
      <w:contextualSpacing/>
    </w:pPr>
  </w:style>
  <w:style w:type="paragraph" w:styleId="Lista2">
    <w:name w:val="List 2"/>
    <w:basedOn w:val="Normalny"/>
    <w:uiPriority w:val="98"/>
    <w:semiHidden/>
    <w:rsid w:val="009A7E81"/>
    <w:pPr>
      <w:ind w:left="566" w:hanging="283"/>
      <w:contextualSpacing/>
    </w:pPr>
  </w:style>
  <w:style w:type="paragraph" w:styleId="Lista3">
    <w:name w:val="List 3"/>
    <w:basedOn w:val="Normalny"/>
    <w:uiPriority w:val="98"/>
    <w:semiHidden/>
    <w:rsid w:val="009A7E81"/>
    <w:pPr>
      <w:ind w:left="849" w:hanging="283"/>
      <w:contextualSpacing/>
    </w:pPr>
  </w:style>
  <w:style w:type="paragraph" w:styleId="Lista4">
    <w:name w:val="List 4"/>
    <w:basedOn w:val="Normalny"/>
    <w:uiPriority w:val="98"/>
    <w:semiHidden/>
    <w:rsid w:val="009A7E81"/>
    <w:pPr>
      <w:ind w:left="1132" w:hanging="283"/>
      <w:contextualSpacing/>
    </w:pPr>
  </w:style>
  <w:style w:type="paragraph" w:styleId="Lista5">
    <w:name w:val="List 5"/>
    <w:basedOn w:val="Normalny"/>
    <w:uiPriority w:val="98"/>
    <w:semiHidden/>
    <w:rsid w:val="009A7E81"/>
    <w:pPr>
      <w:ind w:left="1415" w:hanging="283"/>
      <w:contextualSpacing/>
    </w:pPr>
  </w:style>
  <w:style w:type="paragraph" w:styleId="Listapunktowana2">
    <w:name w:val="List Bullet 2"/>
    <w:basedOn w:val="Normalny"/>
    <w:uiPriority w:val="98"/>
    <w:semiHidden/>
    <w:rsid w:val="009A7E81"/>
    <w:pPr>
      <w:numPr>
        <w:numId w:val="9"/>
      </w:numPr>
      <w:contextualSpacing/>
    </w:pPr>
  </w:style>
  <w:style w:type="paragraph" w:styleId="Listapunktowana3">
    <w:name w:val="List Bullet 3"/>
    <w:basedOn w:val="Normalny"/>
    <w:uiPriority w:val="98"/>
    <w:semiHidden/>
    <w:rsid w:val="009A7E81"/>
    <w:pPr>
      <w:numPr>
        <w:numId w:val="10"/>
      </w:numPr>
      <w:contextualSpacing/>
    </w:pPr>
  </w:style>
  <w:style w:type="paragraph" w:styleId="Listapunktowana4">
    <w:name w:val="List Bullet 4"/>
    <w:basedOn w:val="Normalny"/>
    <w:uiPriority w:val="98"/>
    <w:semiHidden/>
    <w:rsid w:val="009A7E81"/>
    <w:pPr>
      <w:numPr>
        <w:numId w:val="11"/>
      </w:numPr>
      <w:contextualSpacing/>
    </w:pPr>
  </w:style>
  <w:style w:type="paragraph" w:styleId="Listapunktowana5">
    <w:name w:val="List Bullet 5"/>
    <w:basedOn w:val="Normalny"/>
    <w:uiPriority w:val="98"/>
    <w:semiHidden/>
    <w:rsid w:val="009A7E81"/>
    <w:pPr>
      <w:numPr>
        <w:numId w:val="12"/>
      </w:numPr>
      <w:contextualSpacing/>
    </w:pPr>
  </w:style>
  <w:style w:type="paragraph" w:styleId="Lista-kontynuacja">
    <w:name w:val="List Continue"/>
    <w:basedOn w:val="Normalny"/>
    <w:uiPriority w:val="98"/>
    <w:semiHidden/>
    <w:rsid w:val="009A7E81"/>
    <w:pPr>
      <w:spacing w:after="120"/>
      <w:ind w:left="283"/>
      <w:contextualSpacing/>
    </w:pPr>
  </w:style>
  <w:style w:type="paragraph" w:styleId="Lista-kontynuacja2">
    <w:name w:val="List Continue 2"/>
    <w:basedOn w:val="Normalny"/>
    <w:uiPriority w:val="98"/>
    <w:semiHidden/>
    <w:rsid w:val="009A7E81"/>
    <w:pPr>
      <w:spacing w:after="120"/>
      <w:ind w:left="566"/>
      <w:contextualSpacing/>
    </w:pPr>
  </w:style>
  <w:style w:type="paragraph" w:styleId="Lista-kontynuacja3">
    <w:name w:val="List Continue 3"/>
    <w:basedOn w:val="Normalny"/>
    <w:uiPriority w:val="98"/>
    <w:semiHidden/>
    <w:rsid w:val="009A7E81"/>
    <w:pPr>
      <w:spacing w:after="120"/>
      <w:ind w:left="849"/>
      <w:contextualSpacing/>
    </w:pPr>
  </w:style>
  <w:style w:type="paragraph" w:styleId="Lista-kontynuacja4">
    <w:name w:val="List Continue 4"/>
    <w:basedOn w:val="Normalny"/>
    <w:uiPriority w:val="98"/>
    <w:semiHidden/>
    <w:rsid w:val="009A7E81"/>
    <w:pPr>
      <w:spacing w:after="120"/>
      <w:ind w:left="1132"/>
      <w:contextualSpacing/>
    </w:pPr>
  </w:style>
  <w:style w:type="paragraph" w:styleId="Lista-kontynuacja5">
    <w:name w:val="List Continue 5"/>
    <w:basedOn w:val="Normalny"/>
    <w:uiPriority w:val="98"/>
    <w:semiHidden/>
    <w:rsid w:val="009A7E81"/>
    <w:pPr>
      <w:spacing w:after="120"/>
      <w:ind w:left="1415"/>
      <w:contextualSpacing/>
    </w:pPr>
  </w:style>
  <w:style w:type="paragraph" w:styleId="Listanumerowana">
    <w:name w:val="List Number"/>
    <w:basedOn w:val="Normalny"/>
    <w:uiPriority w:val="98"/>
    <w:semiHidden/>
    <w:rsid w:val="009A7E81"/>
    <w:pPr>
      <w:numPr>
        <w:numId w:val="13"/>
      </w:numPr>
      <w:contextualSpacing/>
    </w:pPr>
  </w:style>
  <w:style w:type="paragraph" w:styleId="Listanumerowana2">
    <w:name w:val="List Number 2"/>
    <w:basedOn w:val="Normalny"/>
    <w:uiPriority w:val="98"/>
    <w:semiHidden/>
    <w:rsid w:val="009A7E81"/>
    <w:pPr>
      <w:numPr>
        <w:numId w:val="14"/>
      </w:numPr>
      <w:contextualSpacing/>
    </w:pPr>
  </w:style>
  <w:style w:type="paragraph" w:styleId="Listanumerowana3">
    <w:name w:val="List Number 3"/>
    <w:basedOn w:val="Normalny"/>
    <w:uiPriority w:val="98"/>
    <w:semiHidden/>
    <w:rsid w:val="009A7E81"/>
    <w:pPr>
      <w:numPr>
        <w:numId w:val="15"/>
      </w:numPr>
      <w:contextualSpacing/>
    </w:pPr>
  </w:style>
  <w:style w:type="paragraph" w:styleId="Listanumerowana4">
    <w:name w:val="List Number 4"/>
    <w:basedOn w:val="Normalny"/>
    <w:uiPriority w:val="98"/>
    <w:semiHidden/>
    <w:rsid w:val="009A7E81"/>
    <w:pPr>
      <w:numPr>
        <w:numId w:val="16"/>
      </w:numPr>
      <w:contextualSpacing/>
    </w:pPr>
  </w:style>
  <w:style w:type="paragraph" w:styleId="Listanumerowana5">
    <w:name w:val="List Number 5"/>
    <w:basedOn w:val="Normalny"/>
    <w:uiPriority w:val="98"/>
    <w:semiHidden/>
    <w:rsid w:val="009A7E81"/>
    <w:pPr>
      <w:numPr>
        <w:numId w:val="17"/>
      </w:numPr>
      <w:contextualSpacing/>
    </w:pPr>
  </w:style>
  <w:style w:type="paragraph" w:styleId="Tekstmakra">
    <w:name w:val="macro"/>
    <w:link w:val="TekstmakraZnak"/>
    <w:uiPriority w:val="98"/>
    <w:semiHidden/>
    <w:rsid w:val="009A7E8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kstmakraZnak">
    <w:name w:val="Tekst makra Znak"/>
    <w:basedOn w:val="Domylnaczcionkaakapitu"/>
    <w:link w:val="Tekstmakra"/>
    <w:uiPriority w:val="98"/>
    <w:semiHidden/>
    <w:rsid w:val="009A7E81"/>
    <w:rPr>
      <w:rFonts w:ascii="Consolas" w:eastAsiaTheme="minorEastAsia" w:hAnsi="Consolas" w:cs="Consolas"/>
      <w:sz w:val="20"/>
      <w:szCs w:val="20"/>
    </w:rPr>
  </w:style>
  <w:style w:type="table" w:styleId="redniasiatka1">
    <w:name w:val="Medium Grid 1"/>
    <w:basedOn w:val="Standardowy"/>
    <w:uiPriority w:val="67"/>
    <w:semiHidden/>
    <w:rsid w:val="009A7E8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rsid w:val="009A7E8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67"/>
    <w:semiHidden/>
    <w:rsid w:val="009A7E8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67"/>
    <w:semiHidden/>
    <w:rsid w:val="009A7E8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67"/>
    <w:semiHidden/>
    <w:rsid w:val="009A7E8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67"/>
    <w:semiHidden/>
    <w:rsid w:val="009A7E8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67"/>
    <w:semiHidden/>
    <w:rsid w:val="009A7E8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dniasiatka2">
    <w:name w:val="Medium Grid 2"/>
    <w:basedOn w:val="Standardowy"/>
    <w:uiPriority w:val="68"/>
    <w:semiHidden/>
    <w:rsid w:val="009A7E8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68"/>
    <w:semiHidden/>
    <w:rsid w:val="009A7E8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68"/>
    <w:semiHidden/>
    <w:rsid w:val="009A7E8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68"/>
    <w:semiHidden/>
    <w:rsid w:val="009A7E8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68"/>
    <w:semiHidden/>
    <w:rsid w:val="009A7E8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68"/>
    <w:semiHidden/>
    <w:rsid w:val="009A7E8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68"/>
    <w:semiHidden/>
    <w:rsid w:val="009A7E8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redniasiatka3">
    <w:name w:val="Medium Grid 3"/>
    <w:basedOn w:val="Standardowy"/>
    <w:uiPriority w:val="69"/>
    <w:semiHidden/>
    <w:rsid w:val="009A7E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69"/>
    <w:semiHidden/>
    <w:rsid w:val="009A7E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69"/>
    <w:semiHidden/>
    <w:rsid w:val="009A7E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69"/>
    <w:semiHidden/>
    <w:rsid w:val="009A7E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69"/>
    <w:semiHidden/>
    <w:rsid w:val="009A7E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69"/>
    <w:semiHidden/>
    <w:rsid w:val="009A7E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69"/>
    <w:semiHidden/>
    <w:rsid w:val="009A7E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rednialista1">
    <w:name w:val="Medium List 1"/>
    <w:basedOn w:val="Standardowy"/>
    <w:uiPriority w:val="65"/>
    <w:semiHidden/>
    <w:rsid w:val="009A7E8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rsid w:val="009A7E8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65"/>
    <w:semiHidden/>
    <w:rsid w:val="009A7E8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65"/>
    <w:semiHidden/>
    <w:rsid w:val="009A7E8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65"/>
    <w:semiHidden/>
    <w:rsid w:val="009A7E8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65"/>
    <w:semiHidden/>
    <w:rsid w:val="009A7E8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65"/>
    <w:semiHidden/>
    <w:rsid w:val="009A7E8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rednialista2">
    <w:name w:val="Medium List 2"/>
    <w:basedOn w:val="Standardowy"/>
    <w:uiPriority w:val="66"/>
    <w:semiHidden/>
    <w:rsid w:val="009A7E8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66"/>
    <w:semiHidden/>
    <w:rsid w:val="009A7E8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66"/>
    <w:semiHidden/>
    <w:rsid w:val="009A7E8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66"/>
    <w:semiHidden/>
    <w:rsid w:val="009A7E8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66"/>
    <w:semiHidden/>
    <w:rsid w:val="009A7E8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66"/>
    <w:semiHidden/>
    <w:rsid w:val="009A7E8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66"/>
    <w:semiHidden/>
    <w:rsid w:val="009A7E8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redniecieniowanie1">
    <w:name w:val="Medium Shading 1"/>
    <w:basedOn w:val="Standardowy"/>
    <w:uiPriority w:val="63"/>
    <w:semiHidden/>
    <w:rsid w:val="009A7E8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rsid w:val="009A7E8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rsid w:val="009A7E8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rsid w:val="009A7E8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rsid w:val="009A7E8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rsid w:val="009A7E8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rsid w:val="009A7E8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rsid w:val="009A7E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semiHidden/>
    <w:rsid w:val="009A7E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rsid w:val="009A7E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rsid w:val="009A7E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rsid w:val="009A7E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rsid w:val="009A7E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rsid w:val="009A7E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8"/>
    <w:semiHidden/>
    <w:rsid w:val="009A7E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gwekwiadomociZnak">
    <w:name w:val="Nagłówek wiadomości Znak"/>
    <w:basedOn w:val="Domylnaczcionkaakapitu"/>
    <w:link w:val="Nagwekwiadomoci"/>
    <w:uiPriority w:val="98"/>
    <w:semiHidden/>
    <w:rsid w:val="009A7E81"/>
    <w:rPr>
      <w:rFonts w:asciiTheme="majorHAnsi" w:eastAsiaTheme="majorEastAsia" w:hAnsiTheme="majorHAnsi" w:cstheme="majorBidi"/>
      <w:sz w:val="24"/>
      <w:szCs w:val="24"/>
      <w:shd w:val="pct20" w:color="auto" w:fill="auto"/>
      <w:lang w:val="fr-FR"/>
    </w:rPr>
  </w:style>
  <w:style w:type="paragraph" w:styleId="NormalnyWeb">
    <w:name w:val="Normal (Web)"/>
    <w:basedOn w:val="Normalny"/>
    <w:uiPriority w:val="98"/>
    <w:semiHidden/>
    <w:rsid w:val="009A7E81"/>
    <w:rPr>
      <w:rFonts w:ascii="Times New Roman" w:hAnsi="Times New Roman" w:cs="Times New Roman"/>
    </w:rPr>
  </w:style>
  <w:style w:type="paragraph" w:styleId="Wcicienormalne">
    <w:name w:val="Normal Indent"/>
    <w:basedOn w:val="Normalny"/>
    <w:uiPriority w:val="98"/>
    <w:semiHidden/>
    <w:rsid w:val="009A7E81"/>
    <w:pPr>
      <w:ind w:left="720"/>
    </w:pPr>
  </w:style>
  <w:style w:type="paragraph" w:styleId="Nagweknotatki">
    <w:name w:val="Note Heading"/>
    <w:basedOn w:val="Normalny"/>
    <w:next w:val="Normalny"/>
    <w:link w:val="NagweknotatkiZnak"/>
    <w:uiPriority w:val="98"/>
    <w:semiHidden/>
    <w:rsid w:val="009A7E81"/>
  </w:style>
  <w:style w:type="character" w:customStyle="1" w:styleId="NagweknotatkiZnak">
    <w:name w:val="Nagłówek notatki Znak"/>
    <w:basedOn w:val="Domylnaczcionkaakapitu"/>
    <w:link w:val="Nagweknotatki"/>
    <w:uiPriority w:val="98"/>
    <w:semiHidden/>
    <w:rsid w:val="009A7E81"/>
    <w:rPr>
      <w:sz w:val="24"/>
      <w:szCs w:val="24"/>
      <w:lang w:val="fr-FR"/>
    </w:rPr>
  </w:style>
  <w:style w:type="character" w:styleId="Tekstzastpczy">
    <w:name w:val="Placeholder Text"/>
    <w:basedOn w:val="Domylnaczcionkaakapitu"/>
    <w:uiPriority w:val="98"/>
    <w:semiHidden/>
    <w:rsid w:val="009A7E81"/>
    <w:rPr>
      <w:color w:val="auto"/>
      <w:bdr w:val="none" w:sz="0" w:space="0" w:color="auto"/>
      <w:shd w:val="clear" w:color="auto" w:fill="DFDFDF" w:themeFill="background2" w:themeFillShade="E6"/>
    </w:rPr>
  </w:style>
  <w:style w:type="paragraph" w:styleId="Zwykytekst">
    <w:name w:val="Plain Text"/>
    <w:basedOn w:val="Normalny"/>
    <w:link w:val="ZwykytekstZnak"/>
    <w:uiPriority w:val="98"/>
    <w:semiHidden/>
    <w:rsid w:val="009A7E81"/>
    <w:rPr>
      <w:rFonts w:ascii="Consolas" w:hAnsi="Consolas" w:cs="Consolas"/>
      <w:sz w:val="21"/>
      <w:szCs w:val="21"/>
    </w:rPr>
  </w:style>
  <w:style w:type="character" w:customStyle="1" w:styleId="ZwykytekstZnak">
    <w:name w:val="Zwykły tekst Znak"/>
    <w:basedOn w:val="Domylnaczcionkaakapitu"/>
    <w:link w:val="Zwykytekst"/>
    <w:uiPriority w:val="98"/>
    <w:semiHidden/>
    <w:rsid w:val="009A7E81"/>
    <w:rPr>
      <w:rFonts w:ascii="Consolas" w:hAnsi="Consolas" w:cs="Consolas"/>
      <w:sz w:val="21"/>
      <w:szCs w:val="21"/>
      <w:lang w:val="fr-FR"/>
    </w:rPr>
  </w:style>
  <w:style w:type="paragraph" w:styleId="Zwrotgrzecznociowy">
    <w:name w:val="Salutation"/>
    <w:basedOn w:val="Normalny"/>
    <w:next w:val="Normalny"/>
    <w:link w:val="ZwrotgrzecznociowyZnak"/>
    <w:uiPriority w:val="98"/>
    <w:semiHidden/>
    <w:rsid w:val="009A7E81"/>
  </w:style>
  <w:style w:type="character" w:customStyle="1" w:styleId="ZwrotgrzecznociowyZnak">
    <w:name w:val="Zwrot grzecznościowy Znak"/>
    <w:basedOn w:val="Domylnaczcionkaakapitu"/>
    <w:link w:val="Zwrotgrzecznociowy"/>
    <w:uiPriority w:val="98"/>
    <w:semiHidden/>
    <w:rsid w:val="009A7E81"/>
    <w:rPr>
      <w:sz w:val="24"/>
      <w:szCs w:val="24"/>
      <w:lang w:val="fr-FR"/>
    </w:rPr>
  </w:style>
  <w:style w:type="paragraph" w:styleId="Podpis">
    <w:name w:val="Signature"/>
    <w:basedOn w:val="Normalny"/>
    <w:link w:val="PodpisZnak"/>
    <w:uiPriority w:val="98"/>
    <w:semiHidden/>
    <w:rsid w:val="009A7E81"/>
    <w:pPr>
      <w:ind w:left="4252"/>
    </w:pPr>
  </w:style>
  <w:style w:type="character" w:customStyle="1" w:styleId="PodpisZnak">
    <w:name w:val="Podpis Znak"/>
    <w:basedOn w:val="Domylnaczcionkaakapitu"/>
    <w:link w:val="Podpis"/>
    <w:uiPriority w:val="98"/>
    <w:semiHidden/>
    <w:rsid w:val="009A7E81"/>
    <w:rPr>
      <w:sz w:val="24"/>
      <w:szCs w:val="24"/>
      <w:lang w:val="fr-FR"/>
    </w:rPr>
  </w:style>
  <w:style w:type="table" w:styleId="Tabela-Efekty3W1">
    <w:name w:val="Table 3D effects 1"/>
    <w:basedOn w:val="Standardowy"/>
    <w:uiPriority w:val="99"/>
    <w:semiHidden/>
    <w:unhideWhenUsed/>
    <w:rsid w:val="009A7E8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9A7E8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9A7E8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9A7E8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9A7E8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9A7E8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9A7E8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9A7E8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9A7E8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9A7E8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9A7E8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9A7E8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9A7E8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9A7E8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9A7E8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9A7E8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9A7E8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9A7E8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9A7E8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9A7E8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9A7E8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9A7E8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9A7E8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9A7E8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9A7E8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unhideWhenUsed/>
    <w:rsid w:val="009A7E8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9A7E8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9A7E8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9A7E8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9A7E8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9A7E8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9A7E8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9A7E8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8"/>
    <w:semiHidden/>
    <w:rsid w:val="009A7E81"/>
    <w:pPr>
      <w:ind w:left="240" w:hanging="240"/>
    </w:pPr>
  </w:style>
  <w:style w:type="paragraph" w:styleId="Spisilustracji">
    <w:name w:val="table of figures"/>
    <w:basedOn w:val="Normalny"/>
    <w:next w:val="Normalny"/>
    <w:uiPriority w:val="98"/>
    <w:semiHidden/>
    <w:rsid w:val="009A7E81"/>
  </w:style>
  <w:style w:type="table" w:styleId="Tabela-Profesjonalny">
    <w:name w:val="Table Professional"/>
    <w:basedOn w:val="Standardowy"/>
    <w:uiPriority w:val="99"/>
    <w:semiHidden/>
    <w:unhideWhenUsed/>
    <w:rsid w:val="009A7E8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9A7E8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9A7E8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9A7E8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9A7E8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9A7E8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9A7E8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9A7E8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9A7E8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9A7E8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8"/>
    <w:semiHidden/>
    <w:rsid w:val="009A7E81"/>
    <w:pPr>
      <w:tabs>
        <w:tab w:val="right" w:leader="dot" w:pos="7371"/>
      </w:tabs>
      <w:spacing w:after="60" w:line="240" w:lineRule="exact"/>
      <w:ind w:left="2041" w:right="567" w:hanging="340"/>
    </w:pPr>
    <w:rPr>
      <w:sz w:val="20"/>
    </w:rPr>
  </w:style>
  <w:style w:type="paragraph" w:styleId="Spistreci7">
    <w:name w:val="toc 7"/>
    <w:basedOn w:val="Normalny"/>
    <w:next w:val="Normalny"/>
    <w:autoRedefine/>
    <w:uiPriority w:val="98"/>
    <w:semiHidden/>
    <w:rsid w:val="009A7E81"/>
    <w:pPr>
      <w:tabs>
        <w:tab w:val="right" w:leader="dot" w:pos="7371"/>
      </w:tabs>
      <w:spacing w:after="60" w:line="240" w:lineRule="exact"/>
      <w:ind w:left="2381" w:right="567" w:hanging="340"/>
    </w:pPr>
    <w:rPr>
      <w:sz w:val="20"/>
    </w:rPr>
  </w:style>
  <w:style w:type="paragraph" w:styleId="Spistreci8">
    <w:name w:val="toc 8"/>
    <w:basedOn w:val="Normalny"/>
    <w:next w:val="Normalny"/>
    <w:autoRedefine/>
    <w:uiPriority w:val="98"/>
    <w:semiHidden/>
    <w:rsid w:val="009A7E81"/>
    <w:pPr>
      <w:spacing w:after="100"/>
      <w:ind w:left="1680"/>
    </w:pPr>
  </w:style>
  <w:style w:type="paragraph" w:styleId="Spistreci9">
    <w:name w:val="toc 9"/>
    <w:basedOn w:val="Normalny"/>
    <w:next w:val="Normalny"/>
    <w:autoRedefine/>
    <w:uiPriority w:val="98"/>
    <w:semiHidden/>
    <w:rsid w:val="009A7E81"/>
    <w:pPr>
      <w:spacing w:after="100"/>
      <w:ind w:left="1920"/>
    </w:pPr>
  </w:style>
  <w:style w:type="paragraph" w:customStyle="1" w:styleId="DecHTitle">
    <w:name w:val="Dec_H_Title"/>
    <w:aliases w:val="_Title_1"/>
    <w:basedOn w:val="JuPara"/>
    <w:next w:val="JuPara"/>
    <w:uiPriority w:val="38"/>
    <w:qFormat/>
    <w:rsid w:val="009A7E81"/>
    <w:pPr>
      <w:keepNext/>
      <w:keepLines/>
      <w:spacing w:after="240"/>
      <w:ind w:firstLine="0"/>
      <w:jc w:val="center"/>
      <w:outlineLvl w:val="0"/>
    </w:pPr>
    <w:rPr>
      <w:rFonts w:asciiTheme="majorHAnsi" w:hAnsiTheme="majorHAnsi"/>
      <w:sz w:val="28"/>
    </w:rPr>
  </w:style>
  <w:style w:type="paragraph" w:customStyle="1" w:styleId="JuCourt">
    <w:name w:val="Ju_Court"/>
    <w:aliases w:val="_Court_Names"/>
    <w:basedOn w:val="Normalny"/>
    <w:next w:val="Normalny"/>
    <w:uiPriority w:val="32"/>
    <w:qFormat/>
    <w:rsid w:val="009A7E81"/>
    <w:pPr>
      <w:tabs>
        <w:tab w:val="left" w:pos="907"/>
        <w:tab w:val="left" w:pos="1701"/>
        <w:tab w:val="right" w:pos="7371"/>
      </w:tabs>
      <w:spacing w:before="240"/>
      <w:ind w:left="397" w:hanging="397"/>
    </w:pPr>
    <w:rPr>
      <w:lang w:bidi="en-US"/>
    </w:rPr>
  </w:style>
  <w:style w:type="paragraph" w:customStyle="1" w:styleId="ECHRBullet4">
    <w:name w:val="ECHR_Bullet_4"/>
    <w:aliases w:val="_Bul_4"/>
    <w:basedOn w:val="ECHRBullet3"/>
    <w:uiPriority w:val="23"/>
    <w:semiHidden/>
    <w:rsid w:val="009A7E81"/>
    <w:pPr>
      <w:numPr>
        <w:ilvl w:val="3"/>
      </w:numPr>
    </w:pPr>
  </w:style>
  <w:style w:type="paragraph" w:customStyle="1" w:styleId="ECHRHeaderLandscape">
    <w:name w:val="ECHR_Header_Landscape"/>
    <w:aliases w:val="_Header_Landscape"/>
    <w:basedOn w:val="JuHeader"/>
    <w:uiPriority w:val="29"/>
    <w:rsid w:val="009A7E81"/>
    <w:pPr>
      <w:tabs>
        <w:tab w:val="center" w:pos="6146"/>
        <w:tab w:val="right" w:pos="13778"/>
      </w:tabs>
      <w:ind w:left="-1474" w:right="-1474"/>
    </w:pPr>
  </w:style>
  <w:style w:type="character" w:customStyle="1" w:styleId="JuParaChar">
    <w:name w:val="Ju_Para Char"/>
    <w:aliases w:val="_Para Char,ECHR_Para Char"/>
    <w:link w:val="JuPara"/>
    <w:uiPriority w:val="99"/>
    <w:rsid w:val="0032721C"/>
    <w:rPr>
      <w:sz w:val="24"/>
      <w:szCs w:val="24"/>
      <w:lang w:val="fr-FR"/>
    </w:rPr>
  </w:style>
  <w:style w:type="paragraph" w:styleId="Poprawka">
    <w:name w:val="Revision"/>
    <w:hidden/>
    <w:uiPriority w:val="99"/>
    <w:semiHidden/>
    <w:rsid w:val="007F3CF3"/>
    <w:rPr>
      <w:rFonts w:eastAsiaTheme="minorEastAsia"/>
      <w:sz w:val="24"/>
    </w:rPr>
  </w:style>
  <w:style w:type="paragraph" w:customStyle="1" w:styleId="NormalJustified">
    <w:name w:val="Normal_Justified"/>
    <w:basedOn w:val="Normalny"/>
    <w:semiHidden/>
    <w:rsid w:val="009A7E81"/>
    <w:pPr>
      <w:jc w:val="both"/>
    </w:pPr>
  </w:style>
  <w:style w:type="paragraph" w:customStyle="1" w:styleId="ECHRConfidential">
    <w:name w:val="ECHR_Confidential"/>
    <w:aliases w:val="_Confidential"/>
    <w:basedOn w:val="Normalny"/>
    <w:next w:val="Normalny"/>
    <w:uiPriority w:val="42"/>
    <w:semiHidden/>
    <w:qFormat/>
    <w:rsid w:val="009A7E81"/>
    <w:pPr>
      <w:jc w:val="right"/>
    </w:pPr>
    <w:rPr>
      <w:color w:val="C00000"/>
      <w:sz w:val="20"/>
    </w:rPr>
  </w:style>
  <w:style w:type="paragraph" w:customStyle="1" w:styleId="ECHRDivisionName">
    <w:name w:val="ECHR_DivisionName"/>
    <w:aliases w:val="_Div_Name"/>
    <w:basedOn w:val="Normalny"/>
    <w:link w:val="ECHRDivisionNameChar"/>
    <w:uiPriority w:val="41"/>
    <w:semiHidden/>
    <w:qFormat/>
    <w:rsid w:val="009A7E81"/>
    <w:pPr>
      <w:contextualSpacing/>
      <w:jc w:val="center"/>
    </w:pPr>
    <w:rPr>
      <w:rFonts w:ascii="Arial" w:hAnsi="Arial"/>
      <w:i/>
      <w:color w:val="002856"/>
      <w:sz w:val="32"/>
    </w:rPr>
  </w:style>
  <w:style w:type="character" w:customStyle="1" w:styleId="ECHRDivisionNameChar">
    <w:name w:val="ECHR_DivisionName Char"/>
    <w:aliases w:val="_Div_Name Char"/>
    <w:basedOn w:val="Domylnaczcionkaakapitu"/>
    <w:link w:val="ECHRDivisionName"/>
    <w:uiPriority w:val="41"/>
    <w:semiHidden/>
    <w:rsid w:val="009A7E81"/>
    <w:rPr>
      <w:rFonts w:ascii="Arial" w:hAnsi="Arial"/>
      <w:i/>
      <w:color w:val="002856"/>
      <w:sz w:val="32"/>
      <w:szCs w:val="24"/>
      <w:lang w:val="fr-FR"/>
    </w:rPr>
  </w:style>
  <w:style w:type="paragraph" w:customStyle="1" w:styleId="ECHRFooterLineLandscape">
    <w:name w:val="ECHR_Footer_Line_Landscape"/>
    <w:aliases w:val="_Footer_Line_Landscape"/>
    <w:basedOn w:val="Normalny"/>
    <w:uiPriority w:val="29"/>
    <w:semiHidden/>
    <w:rsid w:val="009A7E8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ny"/>
    <w:uiPriority w:val="8"/>
    <w:semiHidden/>
    <w:qFormat/>
    <w:rsid w:val="009A7E81"/>
    <w:pPr>
      <w:ind w:left="567" w:hanging="567"/>
      <w:jc w:val="both"/>
    </w:pPr>
  </w:style>
  <w:style w:type="paragraph" w:customStyle="1" w:styleId="ECHRHeading9">
    <w:name w:val="ECHR_Heading_9"/>
    <w:aliases w:val="_Head_9"/>
    <w:basedOn w:val="Nagwek9"/>
    <w:uiPriority w:val="17"/>
    <w:semiHidden/>
    <w:rsid w:val="009A7E81"/>
    <w:pPr>
      <w:keepNext/>
      <w:keepLines/>
      <w:numPr>
        <w:ilvl w:val="8"/>
        <w:numId w:val="1"/>
      </w:numPr>
      <w:spacing w:before="100" w:beforeAutospacing="1"/>
      <w:contextualSpacing/>
      <w:jc w:val="both"/>
    </w:pPr>
    <w:rPr>
      <w:i w:val="0"/>
      <w:sz w:val="18"/>
    </w:rPr>
  </w:style>
  <w:style w:type="paragraph" w:customStyle="1" w:styleId="ECHRParaIndent">
    <w:name w:val="ECHR_Para_Indent"/>
    <w:aliases w:val="_Indent"/>
    <w:basedOn w:val="Normalny"/>
    <w:uiPriority w:val="7"/>
    <w:semiHidden/>
    <w:qFormat/>
    <w:rsid w:val="009A7E81"/>
    <w:pPr>
      <w:spacing w:before="120" w:after="120"/>
      <w:ind w:left="567"/>
      <w:jc w:val="both"/>
    </w:pPr>
  </w:style>
  <w:style w:type="paragraph" w:customStyle="1" w:styleId="JuJudges">
    <w:name w:val="Ju_Judges"/>
    <w:aliases w:val="_Judges"/>
    <w:basedOn w:val="Normalny"/>
    <w:link w:val="JuJudgesChar"/>
    <w:uiPriority w:val="32"/>
    <w:qFormat/>
    <w:rsid w:val="009A7E81"/>
    <w:pPr>
      <w:tabs>
        <w:tab w:val="left" w:pos="567"/>
        <w:tab w:val="left" w:pos="1134"/>
      </w:tabs>
    </w:pPr>
  </w:style>
  <w:style w:type="paragraph" w:customStyle="1" w:styleId="ECHRLine">
    <w:name w:val="ECHR_Line"/>
    <w:aliases w:val="_Line"/>
    <w:basedOn w:val="NormalJustified"/>
    <w:next w:val="Normalny"/>
    <w:uiPriority w:val="46"/>
    <w:semiHidden/>
    <w:rsid w:val="009A7E81"/>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9A7E81"/>
    <w:pPr>
      <w:numPr>
        <w:numId w:val="0"/>
      </w:numPr>
      <w:ind w:left="284"/>
    </w:pPr>
  </w:style>
  <w:style w:type="paragraph" w:customStyle="1" w:styleId="ECHRNumberedList1">
    <w:name w:val="ECHR_Numbered_List_1"/>
    <w:aliases w:val="_Num_1"/>
    <w:basedOn w:val="Normalny"/>
    <w:uiPriority w:val="23"/>
    <w:semiHidden/>
    <w:qFormat/>
    <w:rsid w:val="009A7E81"/>
    <w:pPr>
      <w:numPr>
        <w:numId w:val="7"/>
      </w:numPr>
      <w:spacing w:before="60" w:after="60"/>
    </w:pPr>
  </w:style>
  <w:style w:type="paragraph" w:customStyle="1" w:styleId="ECHRNumberedList2">
    <w:name w:val="ECHR_Numbered_List_2"/>
    <w:aliases w:val="_Num_2"/>
    <w:basedOn w:val="ECHRNumberedList1"/>
    <w:uiPriority w:val="23"/>
    <w:semiHidden/>
    <w:rsid w:val="009A7E81"/>
    <w:pPr>
      <w:numPr>
        <w:ilvl w:val="1"/>
      </w:numPr>
    </w:pPr>
  </w:style>
  <w:style w:type="paragraph" w:customStyle="1" w:styleId="ECHRNumberedList3">
    <w:name w:val="ECHR_Numbered_List_3"/>
    <w:aliases w:val="_Num_3"/>
    <w:basedOn w:val="ECHRNumberedList2"/>
    <w:uiPriority w:val="23"/>
    <w:semiHidden/>
    <w:rsid w:val="009A7E81"/>
    <w:pPr>
      <w:numPr>
        <w:ilvl w:val="2"/>
      </w:numPr>
    </w:pPr>
  </w:style>
  <w:style w:type="character" w:customStyle="1" w:styleId="ECHRRed">
    <w:name w:val="ECHR_Red"/>
    <w:aliases w:val="_Red"/>
    <w:basedOn w:val="Domylnaczcionkaakapitu"/>
    <w:uiPriority w:val="15"/>
    <w:semiHidden/>
    <w:qFormat/>
    <w:rsid w:val="009A7E81"/>
    <w:rPr>
      <w:color w:val="C00000" w:themeColor="accent2"/>
    </w:rPr>
  </w:style>
  <w:style w:type="paragraph" w:customStyle="1" w:styleId="ECHRHeaderDate">
    <w:name w:val="ECHR_Header_Date"/>
    <w:aliases w:val="_Ref_Date"/>
    <w:basedOn w:val="Normalny"/>
    <w:uiPriority w:val="44"/>
    <w:semiHidden/>
    <w:qFormat/>
    <w:rsid w:val="009A7E81"/>
    <w:pPr>
      <w:jc w:val="right"/>
    </w:pPr>
    <w:rPr>
      <w:sz w:val="20"/>
    </w:rPr>
  </w:style>
  <w:style w:type="paragraph" w:customStyle="1" w:styleId="ECHRHeaderRefIt">
    <w:name w:val="ECHR_Header_Ref_It"/>
    <w:aliases w:val="_Ref_Ital"/>
    <w:basedOn w:val="Normalny"/>
    <w:next w:val="ECHRHeaderDate"/>
    <w:uiPriority w:val="43"/>
    <w:semiHidden/>
    <w:qFormat/>
    <w:rsid w:val="009A7E81"/>
    <w:pPr>
      <w:jc w:val="right"/>
    </w:pPr>
    <w:rPr>
      <w:i/>
      <w:sz w:val="20"/>
    </w:rPr>
  </w:style>
  <w:style w:type="paragraph" w:customStyle="1" w:styleId="ECHRSpacer">
    <w:name w:val="ECHR_Spacer"/>
    <w:aliases w:val="_Spacer"/>
    <w:basedOn w:val="Normalny"/>
    <w:uiPriority w:val="45"/>
    <w:semiHidden/>
    <w:rsid w:val="009A7E81"/>
    <w:rPr>
      <w:sz w:val="4"/>
    </w:rPr>
  </w:style>
  <w:style w:type="paragraph" w:customStyle="1" w:styleId="ECHRCoverTitle4">
    <w:name w:val="ECHR_Cover_Title_4"/>
    <w:aliases w:val="_Title_4"/>
    <w:basedOn w:val="JuPara"/>
    <w:next w:val="JuPara"/>
    <w:uiPriority w:val="38"/>
    <w:qFormat/>
    <w:rsid w:val="009A7E81"/>
    <w:pPr>
      <w:keepNext/>
      <w:keepLines/>
      <w:tabs>
        <w:tab w:val="right" w:pos="7938"/>
      </w:tabs>
      <w:ind w:firstLine="0"/>
      <w:jc w:val="center"/>
    </w:pPr>
    <w:rPr>
      <w:i/>
    </w:rPr>
  </w:style>
  <w:style w:type="paragraph" w:customStyle="1" w:styleId="ECHRTitleCentre2">
    <w:name w:val="ECHR_Title_Centre_2"/>
    <w:aliases w:val="_Title_C_2"/>
    <w:basedOn w:val="Normalny"/>
    <w:next w:val="Normalny"/>
    <w:uiPriority w:val="26"/>
    <w:semiHidden/>
    <w:qFormat/>
    <w:rsid w:val="009A7E8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TOC1">
    <w:name w:val="ECHR_Title_Centre_TOC_1"/>
    <w:aliases w:val="_Title_C_TOC"/>
    <w:basedOn w:val="ECHRTitleCentre1"/>
    <w:next w:val="Normalny"/>
    <w:uiPriority w:val="25"/>
    <w:semiHidden/>
    <w:qFormat/>
    <w:rsid w:val="009A7E81"/>
    <w:pPr>
      <w:outlineLvl w:val="0"/>
    </w:pPr>
  </w:style>
  <w:style w:type="paragraph" w:customStyle="1" w:styleId="ECHRTitle1">
    <w:name w:val="ECHR_Title_1"/>
    <w:aliases w:val="_Title_L_1"/>
    <w:basedOn w:val="Normalny"/>
    <w:next w:val="Normalny"/>
    <w:uiPriority w:val="28"/>
    <w:semiHidden/>
    <w:qFormat/>
    <w:rsid w:val="009A7E8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ny"/>
    <w:next w:val="Normalny"/>
    <w:uiPriority w:val="28"/>
    <w:semiHidden/>
    <w:qFormat/>
    <w:rsid w:val="009A7E8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ny"/>
    <w:next w:val="Normalny"/>
    <w:uiPriority w:val="28"/>
    <w:semiHidden/>
    <w:qFormat/>
    <w:rsid w:val="009A7E81"/>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ny"/>
    <w:uiPriority w:val="27"/>
    <w:semiHidden/>
    <w:qFormat/>
    <w:rsid w:val="009A7E81"/>
    <w:pPr>
      <w:outlineLvl w:val="0"/>
    </w:pPr>
  </w:style>
  <w:style w:type="paragraph" w:customStyle="1" w:styleId="JuHArticle">
    <w:name w:val="Ju_H_Article"/>
    <w:aliases w:val="_Title_Quote"/>
    <w:basedOn w:val="Normalny"/>
    <w:next w:val="JuQuot"/>
    <w:uiPriority w:val="19"/>
    <w:qFormat/>
    <w:rsid w:val="009A7E81"/>
    <w:pPr>
      <w:keepNext/>
      <w:spacing w:before="100" w:beforeAutospacing="1" w:after="120"/>
      <w:contextualSpacing/>
      <w:jc w:val="center"/>
    </w:pPr>
    <w:rPr>
      <w:b/>
      <w:sz w:val="20"/>
    </w:rPr>
  </w:style>
  <w:style w:type="numbering" w:customStyle="1" w:styleId="ECHRA1StyleBulletedSquare">
    <w:name w:val="ECHR_A1_Style_Bulleted_Square"/>
    <w:basedOn w:val="Bezlisty"/>
    <w:rsid w:val="009A7E81"/>
    <w:pPr>
      <w:numPr>
        <w:numId w:val="5"/>
      </w:numPr>
    </w:pPr>
  </w:style>
  <w:style w:type="numbering" w:customStyle="1" w:styleId="ECHRA1StyleList">
    <w:name w:val="ECHR_A1_Style_List"/>
    <w:basedOn w:val="Bezlisty"/>
    <w:uiPriority w:val="99"/>
    <w:rsid w:val="009A7E81"/>
    <w:pPr>
      <w:numPr>
        <w:numId w:val="6"/>
      </w:numPr>
    </w:pPr>
  </w:style>
  <w:style w:type="numbering" w:customStyle="1" w:styleId="ECHRA1StyleNumberedList">
    <w:name w:val="ECHR_A1_Style_Numbered_List"/>
    <w:basedOn w:val="Bezlisty"/>
    <w:rsid w:val="009A7E81"/>
    <w:pPr>
      <w:numPr>
        <w:numId w:val="7"/>
      </w:numPr>
    </w:pPr>
  </w:style>
  <w:style w:type="table" w:customStyle="1" w:styleId="ECHRTable2">
    <w:name w:val="ECHR_Table_2"/>
    <w:basedOn w:val="Standardowy"/>
    <w:uiPriority w:val="99"/>
    <w:rsid w:val="009A7E8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Standardowy"/>
    <w:uiPriority w:val="99"/>
    <w:rsid w:val="009A7E8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2019">
    <w:name w:val="ECHR_Table_2019"/>
    <w:basedOn w:val="Standardowy"/>
    <w:uiPriority w:val="99"/>
    <w:rsid w:val="009A7E8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Stopka"/>
    <w:uiPriority w:val="57"/>
    <w:semiHidden/>
    <w:rsid w:val="0061115E"/>
    <w:rPr>
      <w:sz w:val="8"/>
    </w:rPr>
  </w:style>
  <w:style w:type="paragraph" w:customStyle="1" w:styleId="DummyStyle">
    <w:name w:val="Dummy_Style"/>
    <w:aliases w:val="_Dummy"/>
    <w:basedOn w:val="Normalny"/>
    <w:semiHidden/>
    <w:qFormat/>
    <w:rsid w:val="009A7E81"/>
    <w:rPr>
      <w:color w:val="00B050"/>
      <w:sz w:val="22"/>
    </w:rPr>
  </w:style>
  <w:style w:type="table" w:customStyle="1" w:styleId="TableGrid1">
    <w:name w:val="Table Grid1"/>
    <w:basedOn w:val="Standardowy"/>
    <w:next w:val="Tabela-Siatka"/>
    <w:uiPriority w:val="59"/>
    <w:rsid w:val="00247D86"/>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JudgesChar">
    <w:name w:val="Ju_Judges Char"/>
    <w:link w:val="JuJudges"/>
    <w:uiPriority w:val="32"/>
    <w:rsid w:val="00106673"/>
    <w:rPr>
      <w:sz w:val="24"/>
      <w:szCs w:val="24"/>
      <w:lang w:val="fr-FR"/>
    </w:rPr>
  </w:style>
  <w:style w:type="paragraph" w:customStyle="1" w:styleId="jupara0">
    <w:name w:val="jupara"/>
    <w:basedOn w:val="Normalny"/>
    <w:rsid w:val="00D059A2"/>
    <w:pPr>
      <w:ind w:firstLine="284"/>
      <w:jc w:val="both"/>
    </w:pPr>
    <w:rPr>
      <w:rFonts w:ascii="Times New Roman" w:eastAsia="Times New Roman" w:hAnsi="Times New Roman" w:cs="Times New Roman"/>
      <w:lang w:val="en-GB" w:eastAsia="en-GB"/>
    </w:rPr>
  </w:style>
  <w:style w:type="paragraph" w:customStyle="1" w:styleId="jucase0">
    <w:name w:val="jucase"/>
    <w:basedOn w:val="Normalny"/>
    <w:rsid w:val="00D059A2"/>
    <w:pPr>
      <w:ind w:firstLine="284"/>
      <w:jc w:val="both"/>
    </w:pPr>
    <w:rPr>
      <w:rFonts w:ascii="Times New Roman" w:eastAsia="Times New Roman" w:hAnsi="Times New Roman" w:cs="Times New Roman"/>
      <w:b/>
      <w:bCs/>
      <w:lang w:val="en-GB" w:eastAsia="en-GB"/>
    </w:rPr>
  </w:style>
  <w:style w:type="paragraph" w:customStyle="1" w:styleId="ECHRPlaceholder">
    <w:name w:val="ECHR_Placeholder"/>
    <w:aliases w:val="_Placeholder"/>
    <w:basedOn w:val="JuSigned"/>
    <w:uiPriority w:val="31"/>
    <w:rsid w:val="009A7E81"/>
    <w:rPr>
      <w:color w:val="FFFFFF"/>
    </w:rPr>
  </w:style>
  <w:style w:type="table" w:customStyle="1" w:styleId="ECHRTableGrey">
    <w:name w:val="ECHR_Table_Grey"/>
    <w:basedOn w:val="Standardowy"/>
    <w:uiPriority w:val="99"/>
    <w:rsid w:val="009A7E81"/>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styleId="Tabelasiatki1jasna">
    <w:name w:val="Grid Table 1 Light"/>
    <w:basedOn w:val="Standardowy"/>
    <w:uiPriority w:val="46"/>
    <w:semiHidden/>
    <w:rsid w:val="009A7E8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semiHidden/>
    <w:rsid w:val="009A7E81"/>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asiatki1jasnaakcent2">
    <w:name w:val="Grid Table 1 Light Accent 2"/>
    <w:basedOn w:val="Standardowy"/>
    <w:uiPriority w:val="46"/>
    <w:semiHidden/>
    <w:rsid w:val="009A7E81"/>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semiHidden/>
    <w:rsid w:val="009A7E81"/>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asiatki1jasnaakcent4">
    <w:name w:val="Grid Table 1 Light Accent 4"/>
    <w:basedOn w:val="Standardowy"/>
    <w:uiPriority w:val="46"/>
    <w:semiHidden/>
    <w:rsid w:val="009A7E81"/>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semiHidden/>
    <w:rsid w:val="009A7E81"/>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asiatki1jasnaakcent6">
    <w:name w:val="Grid Table 1 Light Accent 6"/>
    <w:basedOn w:val="Standardowy"/>
    <w:uiPriority w:val="46"/>
    <w:semiHidden/>
    <w:rsid w:val="009A7E81"/>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asiatki2">
    <w:name w:val="Grid Table 2"/>
    <w:basedOn w:val="Standardowy"/>
    <w:uiPriority w:val="47"/>
    <w:semiHidden/>
    <w:rsid w:val="009A7E8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2akcent1">
    <w:name w:val="Grid Table 2 Accent 1"/>
    <w:basedOn w:val="Standardowy"/>
    <w:uiPriority w:val="47"/>
    <w:semiHidden/>
    <w:rsid w:val="009A7E81"/>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asiatki2akcent2">
    <w:name w:val="Grid Table 2 Accent 2"/>
    <w:basedOn w:val="Standardowy"/>
    <w:uiPriority w:val="47"/>
    <w:semiHidden/>
    <w:rsid w:val="009A7E81"/>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asiatki2akcent3">
    <w:name w:val="Grid Table 2 Accent 3"/>
    <w:basedOn w:val="Standardowy"/>
    <w:uiPriority w:val="47"/>
    <w:semiHidden/>
    <w:rsid w:val="009A7E81"/>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asiatki2akcent4">
    <w:name w:val="Grid Table 2 Accent 4"/>
    <w:basedOn w:val="Standardowy"/>
    <w:uiPriority w:val="47"/>
    <w:semiHidden/>
    <w:rsid w:val="009A7E81"/>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asiatki2akcent5">
    <w:name w:val="Grid Table 2 Accent 5"/>
    <w:basedOn w:val="Standardowy"/>
    <w:uiPriority w:val="47"/>
    <w:semiHidden/>
    <w:rsid w:val="009A7E81"/>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siatki2akcent6">
    <w:name w:val="Grid Table 2 Accent 6"/>
    <w:basedOn w:val="Standardowy"/>
    <w:uiPriority w:val="47"/>
    <w:semiHidden/>
    <w:rsid w:val="009A7E81"/>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siatki3">
    <w:name w:val="Grid Table 3"/>
    <w:basedOn w:val="Standardowy"/>
    <w:uiPriority w:val="48"/>
    <w:semiHidden/>
    <w:rsid w:val="009A7E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3akcent1">
    <w:name w:val="Grid Table 3 Accent 1"/>
    <w:basedOn w:val="Standardowy"/>
    <w:uiPriority w:val="48"/>
    <w:semiHidden/>
    <w:rsid w:val="009A7E8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asiatki3akcent2">
    <w:name w:val="Grid Table 3 Accent 2"/>
    <w:basedOn w:val="Standardowy"/>
    <w:uiPriority w:val="48"/>
    <w:semiHidden/>
    <w:rsid w:val="009A7E8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asiatki3akcent3">
    <w:name w:val="Grid Table 3 Accent 3"/>
    <w:basedOn w:val="Standardowy"/>
    <w:uiPriority w:val="48"/>
    <w:semiHidden/>
    <w:rsid w:val="009A7E8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asiatki3akcent4">
    <w:name w:val="Grid Table 3 Accent 4"/>
    <w:basedOn w:val="Standardowy"/>
    <w:uiPriority w:val="48"/>
    <w:semiHidden/>
    <w:rsid w:val="009A7E8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asiatki3akcent5">
    <w:name w:val="Grid Table 3 Accent 5"/>
    <w:basedOn w:val="Standardowy"/>
    <w:uiPriority w:val="48"/>
    <w:semiHidden/>
    <w:rsid w:val="009A7E8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asiatki3akcent6">
    <w:name w:val="Grid Table 3 Accent 6"/>
    <w:basedOn w:val="Standardowy"/>
    <w:uiPriority w:val="48"/>
    <w:semiHidden/>
    <w:rsid w:val="009A7E8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Tabelasiatki4">
    <w:name w:val="Grid Table 4"/>
    <w:basedOn w:val="Standardowy"/>
    <w:uiPriority w:val="49"/>
    <w:semiHidden/>
    <w:rsid w:val="009A7E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4akcent1">
    <w:name w:val="Grid Table 4 Accent 1"/>
    <w:basedOn w:val="Standardowy"/>
    <w:uiPriority w:val="49"/>
    <w:semiHidden/>
    <w:rsid w:val="009A7E8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asiatki4akcent2">
    <w:name w:val="Grid Table 4 Accent 2"/>
    <w:basedOn w:val="Standardowy"/>
    <w:uiPriority w:val="49"/>
    <w:semiHidden/>
    <w:rsid w:val="009A7E8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asiatki4akcent3">
    <w:name w:val="Grid Table 4 Accent 3"/>
    <w:basedOn w:val="Standardowy"/>
    <w:uiPriority w:val="49"/>
    <w:semiHidden/>
    <w:rsid w:val="009A7E8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asiatki4akcent4">
    <w:name w:val="Grid Table 4 Accent 4"/>
    <w:basedOn w:val="Standardowy"/>
    <w:uiPriority w:val="49"/>
    <w:semiHidden/>
    <w:rsid w:val="009A7E8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asiatki4akcent5">
    <w:name w:val="Grid Table 4 Accent 5"/>
    <w:basedOn w:val="Standardowy"/>
    <w:uiPriority w:val="49"/>
    <w:semiHidden/>
    <w:rsid w:val="009A7E8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siatki4akcent6">
    <w:name w:val="Grid Table 4 Accent 6"/>
    <w:basedOn w:val="Standardowy"/>
    <w:uiPriority w:val="49"/>
    <w:semiHidden/>
    <w:rsid w:val="009A7E8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siatki5ciemna">
    <w:name w:val="Grid Table 5 Dark"/>
    <w:basedOn w:val="Standardowy"/>
    <w:uiPriority w:val="50"/>
    <w:semiHidden/>
    <w:rsid w:val="009A7E8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iatki5ciemnaakcent1">
    <w:name w:val="Grid Table 5 Dark Accent 1"/>
    <w:basedOn w:val="Standardowy"/>
    <w:uiPriority w:val="50"/>
    <w:semiHidden/>
    <w:rsid w:val="009A7E8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asiatki5ciemnaakcent2">
    <w:name w:val="Grid Table 5 Dark Accent 2"/>
    <w:basedOn w:val="Standardowy"/>
    <w:uiPriority w:val="50"/>
    <w:semiHidden/>
    <w:rsid w:val="009A7E8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asiatki5ciemnaakcent3">
    <w:name w:val="Grid Table 5 Dark Accent 3"/>
    <w:basedOn w:val="Standardowy"/>
    <w:uiPriority w:val="50"/>
    <w:semiHidden/>
    <w:rsid w:val="009A7E8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asiatki5ciemnaakcent4">
    <w:name w:val="Grid Table 5 Dark Accent 4"/>
    <w:basedOn w:val="Standardowy"/>
    <w:uiPriority w:val="50"/>
    <w:semiHidden/>
    <w:rsid w:val="009A7E8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asiatki5ciemnaakcent5">
    <w:name w:val="Grid Table 5 Dark Accent 5"/>
    <w:basedOn w:val="Standardowy"/>
    <w:uiPriority w:val="50"/>
    <w:semiHidden/>
    <w:rsid w:val="009A7E8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asiatki5ciemnaakcent6">
    <w:name w:val="Grid Table 5 Dark Accent 6"/>
    <w:basedOn w:val="Standardowy"/>
    <w:uiPriority w:val="50"/>
    <w:semiHidden/>
    <w:rsid w:val="009A7E8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asiatki6kolorowa">
    <w:name w:val="Grid Table 6 Colorful"/>
    <w:basedOn w:val="Standardowy"/>
    <w:uiPriority w:val="51"/>
    <w:semiHidden/>
    <w:rsid w:val="009A7E8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akcent1">
    <w:name w:val="Grid Table 6 Colorful Accent 1"/>
    <w:basedOn w:val="Standardowy"/>
    <w:uiPriority w:val="51"/>
    <w:semiHidden/>
    <w:rsid w:val="009A7E8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asiatki6kolorowaakcent2">
    <w:name w:val="Grid Table 6 Colorful Accent 2"/>
    <w:basedOn w:val="Standardowy"/>
    <w:uiPriority w:val="51"/>
    <w:semiHidden/>
    <w:rsid w:val="009A7E8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asiatki6kolorowaakcent3">
    <w:name w:val="Grid Table 6 Colorful Accent 3"/>
    <w:basedOn w:val="Standardowy"/>
    <w:uiPriority w:val="51"/>
    <w:semiHidden/>
    <w:rsid w:val="009A7E8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asiatki6kolorowaakcent4">
    <w:name w:val="Grid Table 6 Colorful Accent 4"/>
    <w:basedOn w:val="Standardowy"/>
    <w:uiPriority w:val="51"/>
    <w:semiHidden/>
    <w:rsid w:val="009A7E8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asiatki6kolorowaakcent5">
    <w:name w:val="Grid Table 6 Colorful Accent 5"/>
    <w:basedOn w:val="Standardowy"/>
    <w:uiPriority w:val="51"/>
    <w:semiHidden/>
    <w:rsid w:val="009A7E8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siatki6kolorowaakcent6">
    <w:name w:val="Grid Table 6 Colorful Accent 6"/>
    <w:basedOn w:val="Standardowy"/>
    <w:uiPriority w:val="51"/>
    <w:semiHidden/>
    <w:rsid w:val="009A7E8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siatki7kolorowa">
    <w:name w:val="Grid Table 7 Colorful"/>
    <w:basedOn w:val="Standardowy"/>
    <w:uiPriority w:val="52"/>
    <w:semiHidden/>
    <w:rsid w:val="009A7E8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7kolorowaakcent1">
    <w:name w:val="Grid Table 7 Colorful Accent 1"/>
    <w:basedOn w:val="Standardowy"/>
    <w:uiPriority w:val="52"/>
    <w:semiHidden/>
    <w:rsid w:val="009A7E8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asiatki7kolorowaakcent2">
    <w:name w:val="Grid Table 7 Colorful Accent 2"/>
    <w:basedOn w:val="Standardowy"/>
    <w:uiPriority w:val="52"/>
    <w:semiHidden/>
    <w:rsid w:val="009A7E8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asiatki7kolorowaakcent3">
    <w:name w:val="Grid Table 7 Colorful Accent 3"/>
    <w:basedOn w:val="Standardowy"/>
    <w:uiPriority w:val="52"/>
    <w:semiHidden/>
    <w:rsid w:val="009A7E8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asiatki7kolorowaakcent4">
    <w:name w:val="Grid Table 7 Colorful Accent 4"/>
    <w:basedOn w:val="Standardowy"/>
    <w:uiPriority w:val="52"/>
    <w:semiHidden/>
    <w:rsid w:val="009A7E8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asiatki7kolorowaakcent5">
    <w:name w:val="Grid Table 7 Colorful Accent 5"/>
    <w:basedOn w:val="Standardowy"/>
    <w:uiPriority w:val="52"/>
    <w:semiHidden/>
    <w:rsid w:val="009A7E8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asiatki7kolorowaakcent6">
    <w:name w:val="Grid Table 7 Colorful Accent 6"/>
    <w:basedOn w:val="Standardowy"/>
    <w:uiPriority w:val="52"/>
    <w:semiHidden/>
    <w:rsid w:val="009A7E8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ztag1">
    <w:name w:val="Hasztag1"/>
    <w:basedOn w:val="Domylnaczcionkaakapitu"/>
    <w:uiPriority w:val="99"/>
    <w:semiHidden/>
    <w:unhideWhenUsed/>
    <w:rsid w:val="009A7E81"/>
    <w:rPr>
      <w:color w:val="2B579A"/>
      <w:shd w:val="clear" w:color="auto" w:fill="E1DFDD"/>
    </w:rPr>
  </w:style>
  <w:style w:type="table" w:styleId="Tabelalisty1jasna">
    <w:name w:val="List Table 1 Light"/>
    <w:basedOn w:val="Standardowy"/>
    <w:uiPriority w:val="46"/>
    <w:semiHidden/>
    <w:rsid w:val="009A7E8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1jasnaakcent1">
    <w:name w:val="List Table 1 Light Accent 1"/>
    <w:basedOn w:val="Standardowy"/>
    <w:uiPriority w:val="46"/>
    <w:semiHidden/>
    <w:rsid w:val="009A7E81"/>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alisty1jasnaakcent2">
    <w:name w:val="List Table 1 Light Accent 2"/>
    <w:basedOn w:val="Standardowy"/>
    <w:uiPriority w:val="46"/>
    <w:semiHidden/>
    <w:rsid w:val="009A7E81"/>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alisty1jasnaakcent3">
    <w:name w:val="List Table 1 Light Accent 3"/>
    <w:basedOn w:val="Standardowy"/>
    <w:uiPriority w:val="46"/>
    <w:semiHidden/>
    <w:rsid w:val="009A7E81"/>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alisty1jasnaakcent4">
    <w:name w:val="List Table 1 Light Accent 4"/>
    <w:basedOn w:val="Standardowy"/>
    <w:uiPriority w:val="46"/>
    <w:semiHidden/>
    <w:rsid w:val="009A7E81"/>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alisty1jasnaakcent5">
    <w:name w:val="List Table 1 Light Accent 5"/>
    <w:basedOn w:val="Standardowy"/>
    <w:uiPriority w:val="46"/>
    <w:semiHidden/>
    <w:rsid w:val="009A7E81"/>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listy1jasnaakcent6">
    <w:name w:val="List Table 1 Light Accent 6"/>
    <w:basedOn w:val="Standardowy"/>
    <w:uiPriority w:val="46"/>
    <w:semiHidden/>
    <w:rsid w:val="009A7E81"/>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listy2">
    <w:name w:val="List Table 2"/>
    <w:basedOn w:val="Standardowy"/>
    <w:uiPriority w:val="47"/>
    <w:semiHidden/>
    <w:rsid w:val="009A7E8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2akcent1">
    <w:name w:val="List Table 2 Accent 1"/>
    <w:basedOn w:val="Standardowy"/>
    <w:uiPriority w:val="47"/>
    <w:semiHidden/>
    <w:rsid w:val="009A7E81"/>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alisty2akcent2">
    <w:name w:val="List Table 2 Accent 2"/>
    <w:basedOn w:val="Standardowy"/>
    <w:uiPriority w:val="47"/>
    <w:semiHidden/>
    <w:rsid w:val="009A7E81"/>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alisty2akcent3">
    <w:name w:val="List Table 2 Accent 3"/>
    <w:basedOn w:val="Standardowy"/>
    <w:uiPriority w:val="47"/>
    <w:semiHidden/>
    <w:rsid w:val="009A7E81"/>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alisty2akcent4">
    <w:name w:val="List Table 2 Accent 4"/>
    <w:basedOn w:val="Standardowy"/>
    <w:uiPriority w:val="47"/>
    <w:semiHidden/>
    <w:rsid w:val="009A7E81"/>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alisty2akcent5">
    <w:name w:val="List Table 2 Accent 5"/>
    <w:basedOn w:val="Standardowy"/>
    <w:uiPriority w:val="47"/>
    <w:semiHidden/>
    <w:rsid w:val="009A7E81"/>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listy2akcent6">
    <w:name w:val="List Table 2 Accent 6"/>
    <w:basedOn w:val="Standardowy"/>
    <w:uiPriority w:val="47"/>
    <w:semiHidden/>
    <w:rsid w:val="009A7E81"/>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listy3">
    <w:name w:val="List Table 3"/>
    <w:basedOn w:val="Standardowy"/>
    <w:uiPriority w:val="48"/>
    <w:semiHidden/>
    <w:rsid w:val="009A7E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y3akcent1">
    <w:name w:val="List Table 3 Accent 1"/>
    <w:basedOn w:val="Standardowy"/>
    <w:uiPriority w:val="48"/>
    <w:semiHidden/>
    <w:rsid w:val="009A7E81"/>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alisty3akcent2">
    <w:name w:val="List Table 3 Accent 2"/>
    <w:basedOn w:val="Standardowy"/>
    <w:uiPriority w:val="48"/>
    <w:semiHidden/>
    <w:rsid w:val="009A7E81"/>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alisty3akcent3">
    <w:name w:val="List Table 3 Accent 3"/>
    <w:basedOn w:val="Standardowy"/>
    <w:uiPriority w:val="48"/>
    <w:semiHidden/>
    <w:rsid w:val="009A7E81"/>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alisty3akcent4">
    <w:name w:val="List Table 3 Accent 4"/>
    <w:basedOn w:val="Standardowy"/>
    <w:uiPriority w:val="48"/>
    <w:semiHidden/>
    <w:rsid w:val="009A7E81"/>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alisty3akcent5">
    <w:name w:val="List Table 3 Accent 5"/>
    <w:basedOn w:val="Standardowy"/>
    <w:uiPriority w:val="48"/>
    <w:semiHidden/>
    <w:rsid w:val="009A7E81"/>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alisty3akcent6">
    <w:name w:val="List Table 3 Accent 6"/>
    <w:basedOn w:val="Standardowy"/>
    <w:uiPriority w:val="48"/>
    <w:semiHidden/>
    <w:rsid w:val="009A7E81"/>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Tabelalisty4">
    <w:name w:val="List Table 4"/>
    <w:basedOn w:val="Standardowy"/>
    <w:uiPriority w:val="49"/>
    <w:semiHidden/>
    <w:rsid w:val="009A7E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4akcent1">
    <w:name w:val="List Table 4 Accent 1"/>
    <w:basedOn w:val="Standardowy"/>
    <w:uiPriority w:val="49"/>
    <w:semiHidden/>
    <w:rsid w:val="009A7E8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alisty4akcent2">
    <w:name w:val="List Table 4 Accent 2"/>
    <w:basedOn w:val="Standardowy"/>
    <w:uiPriority w:val="49"/>
    <w:semiHidden/>
    <w:rsid w:val="009A7E8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alisty4akcent3">
    <w:name w:val="List Table 4 Accent 3"/>
    <w:basedOn w:val="Standardowy"/>
    <w:uiPriority w:val="49"/>
    <w:semiHidden/>
    <w:rsid w:val="009A7E8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alisty4akcent4">
    <w:name w:val="List Table 4 Accent 4"/>
    <w:basedOn w:val="Standardowy"/>
    <w:uiPriority w:val="49"/>
    <w:semiHidden/>
    <w:rsid w:val="009A7E8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alisty4akcent5">
    <w:name w:val="List Table 4 Accent 5"/>
    <w:basedOn w:val="Standardowy"/>
    <w:uiPriority w:val="49"/>
    <w:semiHidden/>
    <w:rsid w:val="009A7E8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listy4akcent6">
    <w:name w:val="List Table 4 Accent 6"/>
    <w:basedOn w:val="Standardowy"/>
    <w:uiPriority w:val="49"/>
    <w:semiHidden/>
    <w:rsid w:val="009A7E8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listy5ciemna">
    <w:name w:val="List Table 5 Dark"/>
    <w:basedOn w:val="Standardowy"/>
    <w:uiPriority w:val="50"/>
    <w:semiHidden/>
    <w:rsid w:val="009A7E81"/>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1">
    <w:name w:val="List Table 5 Dark Accent 1"/>
    <w:basedOn w:val="Standardowy"/>
    <w:uiPriority w:val="50"/>
    <w:semiHidden/>
    <w:rsid w:val="009A7E81"/>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2">
    <w:name w:val="List Table 5 Dark Accent 2"/>
    <w:basedOn w:val="Standardowy"/>
    <w:uiPriority w:val="50"/>
    <w:semiHidden/>
    <w:rsid w:val="009A7E81"/>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3">
    <w:name w:val="List Table 5 Dark Accent 3"/>
    <w:basedOn w:val="Standardowy"/>
    <w:uiPriority w:val="50"/>
    <w:semiHidden/>
    <w:rsid w:val="009A7E81"/>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4">
    <w:name w:val="List Table 5 Dark Accent 4"/>
    <w:basedOn w:val="Standardowy"/>
    <w:uiPriority w:val="50"/>
    <w:semiHidden/>
    <w:rsid w:val="009A7E81"/>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5">
    <w:name w:val="List Table 5 Dark Accent 5"/>
    <w:basedOn w:val="Standardowy"/>
    <w:uiPriority w:val="50"/>
    <w:semiHidden/>
    <w:rsid w:val="009A7E81"/>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6">
    <w:name w:val="List Table 5 Dark Accent 6"/>
    <w:basedOn w:val="Standardowy"/>
    <w:uiPriority w:val="50"/>
    <w:semiHidden/>
    <w:rsid w:val="009A7E81"/>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6kolorowa">
    <w:name w:val="List Table 6 Colorful"/>
    <w:basedOn w:val="Standardowy"/>
    <w:uiPriority w:val="51"/>
    <w:semiHidden/>
    <w:rsid w:val="009A7E8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6kolorowaakcent1">
    <w:name w:val="List Table 6 Colorful Accent 1"/>
    <w:basedOn w:val="Standardowy"/>
    <w:uiPriority w:val="51"/>
    <w:semiHidden/>
    <w:rsid w:val="009A7E81"/>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alisty6kolorowaakcent2">
    <w:name w:val="List Table 6 Colorful Accent 2"/>
    <w:basedOn w:val="Standardowy"/>
    <w:uiPriority w:val="51"/>
    <w:semiHidden/>
    <w:rsid w:val="009A7E81"/>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alisty6kolorowaakcent3">
    <w:name w:val="List Table 6 Colorful Accent 3"/>
    <w:basedOn w:val="Standardowy"/>
    <w:uiPriority w:val="51"/>
    <w:semiHidden/>
    <w:rsid w:val="009A7E81"/>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alisty6kolorowaakcent4">
    <w:name w:val="List Table 6 Colorful Accent 4"/>
    <w:basedOn w:val="Standardowy"/>
    <w:uiPriority w:val="51"/>
    <w:semiHidden/>
    <w:rsid w:val="009A7E81"/>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alisty6kolorowaakcent5">
    <w:name w:val="List Table 6 Colorful Accent 5"/>
    <w:basedOn w:val="Standardowy"/>
    <w:uiPriority w:val="51"/>
    <w:semiHidden/>
    <w:rsid w:val="009A7E81"/>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listy6kolorowaakcent6">
    <w:name w:val="List Table 6 Colorful Accent 6"/>
    <w:basedOn w:val="Standardowy"/>
    <w:uiPriority w:val="51"/>
    <w:semiHidden/>
    <w:rsid w:val="009A7E81"/>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listy7kolorowa">
    <w:name w:val="List Table 7 Colorful"/>
    <w:basedOn w:val="Standardowy"/>
    <w:uiPriority w:val="52"/>
    <w:semiHidden/>
    <w:rsid w:val="009A7E8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semiHidden/>
    <w:rsid w:val="009A7E81"/>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2">
    <w:name w:val="List Table 7 Colorful Accent 2"/>
    <w:basedOn w:val="Standardowy"/>
    <w:uiPriority w:val="52"/>
    <w:semiHidden/>
    <w:rsid w:val="009A7E81"/>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3">
    <w:name w:val="List Table 7 Colorful Accent 3"/>
    <w:basedOn w:val="Standardowy"/>
    <w:uiPriority w:val="52"/>
    <w:semiHidden/>
    <w:rsid w:val="009A7E81"/>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4">
    <w:name w:val="List Table 7 Colorful Accent 4"/>
    <w:basedOn w:val="Standardowy"/>
    <w:uiPriority w:val="52"/>
    <w:semiHidden/>
    <w:rsid w:val="009A7E81"/>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5">
    <w:name w:val="List Table 7 Colorful Accent 5"/>
    <w:basedOn w:val="Standardowy"/>
    <w:uiPriority w:val="52"/>
    <w:semiHidden/>
    <w:rsid w:val="009A7E81"/>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6">
    <w:name w:val="List Table 7 Colorful Accent 6"/>
    <w:basedOn w:val="Standardowy"/>
    <w:uiPriority w:val="52"/>
    <w:semiHidden/>
    <w:rsid w:val="009A7E81"/>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Wzmianka1">
    <w:name w:val="Wzmianka1"/>
    <w:basedOn w:val="Domylnaczcionkaakapitu"/>
    <w:uiPriority w:val="99"/>
    <w:semiHidden/>
    <w:unhideWhenUsed/>
    <w:rsid w:val="009A7E81"/>
    <w:rPr>
      <w:color w:val="2B579A"/>
      <w:shd w:val="clear" w:color="auto" w:fill="E1DFDD"/>
    </w:rPr>
  </w:style>
  <w:style w:type="table" w:styleId="Zwykatabela1">
    <w:name w:val="Plain Table 1"/>
    <w:basedOn w:val="Standardowy"/>
    <w:uiPriority w:val="41"/>
    <w:semiHidden/>
    <w:rsid w:val="009A7E81"/>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Zwykatabela2">
    <w:name w:val="Plain Table 2"/>
    <w:basedOn w:val="Standardowy"/>
    <w:uiPriority w:val="42"/>
    <w:semiHidden/>
    <w:rsid w:val="009A7E8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semiHidden/>
    <w:rsid w:val="009A7E8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semiHidden/>
    <w:rsid w:val="009A7E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Zwykatabela5">
    <w:name w:val="Plain Table 5"/>
    <w:basedOn w:val="Standardowy"/>
    <w:uiPriority w:val="45"/>
    <w:semiHidden/>
    <w:rsid w:val="009A7E8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Inteligentnyhiperlink1">
    <w:name w:val="Inteligentny hiperlink1"/>
    <w:basedOn w:val="Domylnaczcionkaakapitu"/>
    <w:uiPriority w:val="99"/>
    <w:semiHidden/>
    <w:unhideWhenUsed/>
    <w:rsid w:val="009A7E81"/>
    <w:rPr>
      <w:u w:val="dotted"/>
    </w:rPr>
  </w:style>
  <w:style w:type="character" w:customStyle="1" w:styleId="Inteligentnylink1">
    <w:name w:val="Inteligentny link1"/>
    <w:basedOn w:val="Domylnaczcionkaakapitu"/>
    <w:uiPriority w:val="99"/>
    <w:semiHidden/>
    <w:unhideWhenUsed/>
    <w:rsid w:val="009A7E81"/>
    <w:rPr>
      <w:color w:val="0000FF"/>
      <w:u w:val="single"/>
      <w:shd w:val="clear" w:color="auto" w:fill="F3F2F1"/>
    </w:rPr>
  </w:style>
  <w:style w:type="table" w:styleId="Siatkatabelijasna">
    <w:name w:val="Grid Table Light"/>
    <w:basedOn w:val="Standardowy"/>
    <w:uiPriority w:val="40"/>
    <w:semiHidden/>
    <w:rsid w:val="009A7E81"/>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Nierozpoznanawzmianka1">
    <w:name w:val="Nierozpoznana wzmianka1"/>
    <w:basedOn w:val="Domylnaczcionkaakapitu"/>
    <w:uiPriority w:val="99"/>
    <w:semiHidden/>
    <w:unhideWhenUsed/>
    <w:rsid w:val="009A7E81"/>
    <w:rPr>
      <w:color w:val="605E5C"/>
      <w:shd w:val="clear" w:color="auto" w:fill="E1DFDD"/>
    </w:rPr>
  </w:style>
  <w:style w:type="paragraph" w:customStyle="1" w:styleId="s50c0b1c7">
    <w:name w:val="s50c0b1c7"/>
    <w:basedOn w:val="Normalny"/>
    <w:uiPriority w:val="99"/>
    <w:rsid w:val="00087E79"/>
    <w:pPr>
      <w:spacing w:before="100" w:beforeAutospacing="1" w:after="100" w:afterAutospacing="1"/>
    </w:pPr>
    <w:rPr>
      <w:rFonts w:ascii="Times New Roman" w:eastAsia="Times New Roman" w:hAnsi="Times New Roman" w:cs="Times New Roman"/>
      <w:lang w:val="en-GB" w:eastAsia="en-GB"/>
    </w:rPr>
  </w:style>
  <w:style w:type="character" w:customStyle="1" w:styleId="s3aeeab2">
    <w:name w:val="s3aeeab2"/>
    <w:basedOn w:val="Domylnaczcionkaakapitu"/>
    <w:uiPriority w:val="99"/>
    <w:rsid w:val="00087E79"/>
  </w:style>
  <w:style w:type="character" w:customStyle="1" w:styleId="sfbbfee58">
    <w:name w:val="sfbbfee58"/>
    <w:basedOn w:val="Domylnaczcionkaakapitu"/>
    <w:rsid w:val="00087E79"/>
  </w:style>
  <w:style w:type="paragraph" w:customStyle="1" w:styleId="ClinContent">
    <w:name w:val="ClinContent"/>
    <w:basedOn w:val="Normalny"/>
    <w:qFormat/>
    <w:rsid w:val="00087E79"/>
    <w:pPr>
      <w:spacing w:before="240"/>
      <w:jc w:val="both"/>
    </w:pPr>
    <w:rPr>
      <w:rFonts w:ascii="Verdana" w:eastAsia="Times New Roman" w:hAnsi="Verdana" w:cs="Times New Roman"/>
      <w:sz w:val="20"/>
      <w:lang w:val="en-GB" w:eastAsia="en-GB"/>
    </w:rPr>
  </w:style>
  <w:style w:type="character" w:customStyle="1" w:styleId="s4f807e54">
    <w:name w:val="s4f807e54"/>
    <w:uiPriority w:val="99"/>
    <w:rsid w:val="00701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1693">
      <w:bodyDiv w:val="1"/>
      <w:marLeft w:val="0"/>
      <w:marRight w:val="0"/>
      <w:marTop w:val="0"/>
      <w:marBottom w:val="0"/>
      <w:divBdr>
        <w:top w:val="none" w:sz="0" w:space="0" w:color="auto"/>
        <w:left w:val="none" w:sz="0" w:space="0" w:color="auto"/>
        <w:bottom w:val="none" w:sz="0" w:space="0" w:color="auto"/>
        <w:right w:val="none" w:sz="0" w:space="0" w:color="auto"/>
      </w:divBdr>
    </w:div>
    <w:div w:id="91050366">
      <w:bodyDiv w:val="1"/>
      <w:marLeft w:val="0"/>
      <w:marRight w:val="0"/>
      <w:marTop w:val="0"/>
      <w:marBottom w:val="0"/>
      <w:divBdr>
        <w:top w:val="none" w:sz="0" w:space="0" w:color="auto"/>
        <w:left w:val="none" w:sz="0" w:space="0" w:color="auto"/>
        <w:bottom w:val="none" w:sz="0" w:space="0" w:color="auto"/>
        <w:right w:val="none" w:sz="0" w:space="0" w:color="auto"/>
      </w:divBdr>
      <w:divsChild>
        <w:div w:id="795489784">
          <w:marLeft w:val="0"/>
          <w:marRight w:val="0"/>
          <w:marTop w:val="0"/>
          <w:marBottom w:val="0"/>
          <w:divBdr>
            <w:top w:val="none" w:sz="0" w:space="0" w:color="auto"/>
            <w:left w:val="none" w:sz="0" w:space="0" w:color="auto"/>
            <w:bottom w:val="none" w:sz="0" w:space="0" w:color="auto"/>
            <w:right w:val="none" w:sz="0" w:space="0" w:color="auto"/>
          </w:divBdr>
          <w:divsChild>
            <w:div w:id="960764364">
              <w:marLeft w:val="0"/>
              <w:marRight w:val="0"/>
              <w:marTop w:val="0"/>
              <w:marBottom w:val="0"/>
              <w:divBdr>
                <w:top w:val="none" w:sz="0" w:space="0" w:color="auto"/>
                <w:left w:val="none" w:sz="0" w:space="0" w:color="auto"/>
                <w:bottom w:val="none" w:sz="0" w:space="0" w:color="auto"/>
                <w:right w:val="none" w:sz="0" w:space="0" w:color="auto"/>
              </w:divBdr>
              <w:divsChild>
                <w:div w:id="876896831">
                  <w:marLeft w:val="0"/>
                  <w:marRight w:val="0"/>
                  <w:marTop w:val="0"/>
                  <w:marBottom w:val="0"/>
                  <w:divBdr>
                    <w:top w:val="none" w:sz="0" w:space="0" w:color="auto"/>
                    <w:left w:val="none" w:sz="0" w:space="0" w:color="auto"/>
                    <w:bottom w:val="none" w:sz="0" w:space="0" w:color="auto"/>
                    <w:right w:val="none" w:sz="0" w:space="0" w:color="auto"/>
                  </w:divBdr>
                  <w:divsChild>
                    <w:div w:id="2030527863">
                      <w:marLeft w:val="0"/>
                      <w:marRight w:val="0"/>
                      <w:marTop w:val="0"/>
                      <w:marBottom w:val="0"/>
                      <w:divBdr>
                        <w:top w:val="none" w:sz="0" w:space="0" w:color="auto"/>
                        <w:left w:val="none" w:sz="0" w:space="0" w:color="auto"/>
                        <w:bottom w:val="none" w:sz="0" w:space="0" w:color="auto"/>
                        <w:right w:val="none" w:sz="0" w:space="0" w:color="auto"/>
                      </w:divBdr>
                      <w:divsChild>
                        <w:div w:id="624311270">
                          <w:marLeft w:val="0"/>
                          <w:marRight w:val="0"/>
                          <w:marTop w:val="0"/>
                          <w:marBottom w:val="0"/>
                          <w:divBdr>
                            <w:top w:val="none" w:sz="0" w:space="0" w:color="auto"/>
                            <w:left w:val="none" w:sz="0" w:space="0" w:color="auto"/>
                            <w:bottom w:val="none" w:sz="0" w:space="0" w:color="auto"/>
                            <w:right w:val="none" w:sz="0" w:space="0" w:color="auto"/>
                          </w:divBdr>
                          <w:divsChild>
                            <w:div w:id="16971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37884">
      <w:bodyDiv w:val="1"/>
      <w:marLeft w:val="0"/>
      <w:marRight w:val="0"/>
      <w:marTop w:val="0"/>
      <w:marBottom w:val="0"/>
      <w:divBdr>
        <w:top w:val="none" w:sz="0" w:space="0" w:color="auto"/>
        <w:left w:val="none" w:sz="0" w:space="0" w:color="auto"/>
        <w:bottom w:val="none" w:sz="0" w:space="0" w:color="auto"/>
        <w:right w:val="none" w:sz="0" w:space="0" w:color="auto"/>
      </w:divBdr>
      <w:divsChild>
        <w:div w:id="742682522">
          <w:marLeft w:val="0"/>
          <w:marRight w:val="0"/>
          <w:marTop w:val="0"/>
          <w:marBottom w:val="0"/>
          <w:divBdr>
            <w:top w:val="none" w:sz="0" w:space="0" w:color="auto"/>
            <w:left w:val="none" w:sz="0" w:space="0" w:color="auto"/>
            <w:bottom w:val="none" w:sz="0" w:space="0" w:color="auto"/>
            <w:right w:val="none" w:sz="0" w:space="0" w:color="auto"/>
          </w:divBdr>
          <w:divsChild>
            <w:div w:id="1106387107">
              <w:marLeft w:val="0"/>
              <w:marRight w:val="0"/>
              <w:marTop w:val="0"/>
              <w:marBottom w:val="0"/>
              <w:divBdr>
                <w:top w:val="none" w:sz="0" w:space="0" w:color="auto"/>
                <w:left w:val="none" w:sz="0" w:space="0" w:color="auto"/>
                <w:bottom w:val="none" w:sz="0" w:space="0" w:color="auto"/>
                <w:right w:val="none" w:sz="0" w:space="0" w:color="auto"/>
              </w:divBdr>
              <w:divsChild>
                <w:div w:id="510415613">
                  <w:marLeft w:val="0"/>
                  <w:marRight w:val="0"/>
                  <w:marTop w:val="0"/>
                  <w:marBottom w:val="0"/>
                  <w:divBdr>
                    <w:top w:val="none" w:sz="0" w:space="0" w:color="auto"/>
                    <w:left w:val="none" w:sz="0" w:space="0" w:color="auto"/>
                    <w:bottom w:val="none" w:sz="0" w:space="0" w:color="auto"/>
                    <w:right w:val="none" w:sz="0" w:space="0" w:color="auto"/>
                  </w:divBdr>
                  <w:divsChild>
                    <w:div w:id="1293245747">
                      <w:marLeft w:val="0"/>
                      <w:marRight w:val="0"/>
                      <w:marTop w:val="0"/>
                      <w:marBottom w:val="0"/>
                      <w:divBdr>
                        <w:top w:val="none" w:sz="0" w:space="0" w:color="auto"/>
                        <w:left w:val="none" w:sz="0" w:space="0" w:color="auto"/>
                        <w:bottom w:val="none" w:sz="0" w:space="0" w:color="auto"/>
                        <w:right w:val="none" w:sz="0" w:space="0" w:color="auto"/>
                      </w:divBdr>
                      <w:divsChild>
                        <w:div w:id="597951597">
                          <w:marLeft w:val="0"/>
                          <w:marRight w:val="0"/>
                          <w:marTop w:val="0"/>
                          <w:marBottom w:val="0"/>
                          <w:divBdr>
                            <w:top w:val="none" w:sz="0" w:space="0" w:color="auto"/>
                            <w:left w:val="none" w:sz="0" w:space="0" w:color="auto"/>
                            <w:bottom w:val="none" w:sz="0" w:space="0" w:color="auto"/>
                            <w:right w:val="none" w:sz="0" w:space="0" w:color="auto"/>
                          </w:divBdr>
                          <w:divsChild>
                            <w:div w:id="41728597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 w:id="262687900">
      <w:bodyDiv w:val="1"/>
      <w:marLeft w:val="0"/>
      <w:marRight w:val="0"/>
      <w:marTop w:val="0"/>
      <w:marBottom w:val="0"/>
      <w:divBdr>
        <w:top w:val="none" w:sz="0" w:space="0" w:color="auto"/>
        <w:left w:val="none" w:sz="0" w:space="0" w:color="auto"/>
        <w:bottom w:val="none" w:sz="0" w:space="0" w:color="auto"/>
        <w:right w:val="none" w:sz="0" w:space="0" w:color="auto"/>
      </w:divBdr>
    </w:div>
    <w:div w:id="283313077">
      <w:bodyDiv w:val="1"/>
      <w:marLeft w:val="0"/>
      <w:marRight w:val="0"/>
      <w:marTop w:val="0"/>
      <w:marBottom w:val="0"/>
      <w:divBdr>
        <w:top w:val="none" w:sz="0" w:space="0" w:color="auto"/>
        <w:left w:val="none" w:sz="0" w:space="0" w:color="auto"/>
        <w:bottom w:val="none" w:sz="0" w:space="0" w:color="auto"/>
        <w:right w:val="none" w:sz="0" w:space="0" w:color="auto"/>
      </w:divBdr>
      <w:divsChild>
        <w:div w:id="1602182931">
          <w:marLeft w:val="0"/>
          <w:marRight w:val="0"/>
          <w:marTop w:val="0"/>
          <w:marBottom w:val="0"/>
          <w:divBdr>
            <w:top w:val="none" w:sz="0" w:space="0" w:color="auto"/>
            <w:left w:val="none" w:sz="0" w:space="0" w:color="auto"/>
            <w:bottom w:val="none" w:sz="0" w:space="0" w:color="auto"/>
            <w:right w:val="none" w:sz="0" w:space="0" w:color="auto"/>
          </w:divBdr>
          <w:divsChild>
            <w:div w:id="1622105324">
              <w:marLeft w:val="0"/>
              <w:marRight w:val="0"/>
              <w:marTop w:val="0"/>
              <w:marBottom w:val="0"/>
              <w:divBdr>
                <w:top w:val="none" w:sz="0" w:space="0" w:color="auto"/>
                <w:left w:val="none" w:sz="0" w:space="0" w:color="auto"/>
                <w:bottom w:val="none" w:sz="0" w:space="0" w:color="auto"/>
                <w:right w:val="none" w:sz="0" w:space="0" w:color="auto"/>
              </w:divBdr>
              <w:divsChild>
                <w:div w:id="543952346">
                  <w:marLeft w:val="0"/>
                  <w:marRight w:val="0"/>
                  <w:marTop w:val="0"/>
                  <w:marBottom w:val="0"/>
                  <w:divBdr>
                    <w:top w:val="none" w:sz="0" w:space="0" w:color="auto"/>
                    <w:left w:val="none" w:sz="0" w:space="0" w:color="auto"/>
                    <w:bottom w:val="none" w:sz="0" w:space="0" w:color="auto"/>
                    <w:right w:val="none" w:sz="0" w:space="0" w:color="auto"/>
                  </w:divBdr>
                  <w:divsChild>
                    <w:div w:id="714888312">
                      <w:marLeft w:val="0"/>
                      <w:marRight w:val="0"/>
                      <w:marTop w:val="0"/>
                      <w:marBottom w:val="0"/>
                      <w:divBdr>
                        <w:top w:val="none" w:sz="0" w:space="0" w:color="auto"/>
                        <w:left w:val="none" w:sz="0" w:space="0" w:color="auto"/>
                        <w:bottom w:val="none" w:sz="0" w:space="0" w:color="auto"/>
                        <w:right w:val="none" w:sz="0" w:space="0" w:color="auto"/>
                      </w:divBdr>
                      <w:divsChild>
                        <w:div w:id="685637880">
                          <w:marLeft w:val="0"/>
                          <w:marRight w:val="0"/>
                          <w:marTop w:val="0"/>
                          <w:marBottom w:val="0"/>
                          <w:divBdr>
                            <w:top w:val="none" w:sz="0" w:space="0" w:color="auto"/>
                            <w:left w:val="none" w:sz="0" w:space="0" w:color="auto"/>
                            <w:bottom w:val="none" w:sz="0" w:space="0" w:color="auto"/>
                            <w:right w:val="none" w:sz="0" w:space="0" w:color="auto"/>
                          </w:divBdr>
                          <w:divsChild>
                            <w:div w:id="4574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73612">
      <w:bodyDiv w:val="1"/>
      <w:marLeft w:val="0"/>
      <w:marRight w:val="0"/>
      <w:marTop w:val="0"/>
      <w:marBottom w:val="0"/>
      <w:divBdr>
        <w:top w:val="none" w:sz="0" w:space="0" w:color="auto"/>
        <w:left w:val="none" w:sz="0" w:space="0" w:color="auto"/>
        <w:bottom w:val="none" w:sz="0" w:space="0" w:color="auto"/>
        <w:right w:val="none" w:sz="0" w:space="0" w:color="auto"/>
      </w:divBdr>
      <w:divsChild>
        <w:div w:id="873738400">
          <w:marLeft w:val="0"/>
          <w:marRight w:val="0"/>
          <w:marTop w:val="0"/>
          <w:marBottom w:val="0"/>
          <w:divBdr>
            <w:top w:val="none" w:sz="0" w:space="0" w:color="auto"/>
            <w:left w:val="none" w:sz="0" w:space="0" w:color="auto"/>
            <w:bottom w:val="none" w:sz="0" w:space="0" w:color="auto"/>
            <w:right w:val="none" w:sz="0" w:space="0" w:color="auto"/>
          </w:divBdr>
          <w:divsChild>
            <w:div w:id="692347428">
              <w:marLeft w:val="0"/>
              <w:marRight w:val="0"/>
              <w:marTop w:val="0"/>
              <w:marBottom w:val="0"/>
              <w:divBdr>
                <w:top w:val="none" w:sz="0" w:space="0" w:color="auto"/>
                <w:left w:val="none" w:sz="0" w:space="0" w:color="auto"/>
                <w:bottom w:val="none" w:sz="0" w:space="0" w:color="auto"/>
                <w:right w:val="none" w:sz="0" w:space="0" w:color="auto"/>
              </w:divBdr>
              <w:divsChild>
                <w:div w:id="703990199">
                  <w:marLeft w:val="0"/>
                  <w:marRight w:val="0"/>
                  <w:marTop w:val="0"/>
                  <w:marBottom w:val="0"/>
                  <w:divBdr>
                    <w:top w:val="none" w:sz="0" w:space="0" w:color="auto"/>
                    <w:left w:val="none" w:sz="0" w:space="0" w:color="auto"/>
                    <w:bottom w:val="none" w:sz="0" w:space="0" w:color="auto"/>
                    <w:right w:val="none" w:sz="0" w:space="0" w:color="auto"/>
                  </w:divBdr>
                  <w:divsChild>
                    <w:div w:id="1798524915">
                      <w:marLeft w:val="0"/>
                      <w:marRight w:val="0"/>
                      <w:marTop w:val="0"/>
                      <w:marBottom w:val="0"/>
                      <w:divBdr>
                        <w:top w:val="none" w:sz="0" w:space="0" w:color="auto"/>
                        <w:left w:val="none" w:sz="0" w:space="0" w:color="auto"/>
                        <w:bottom w:val="none" w:sz="0" w:space="0" w:color="auto"/>
                        <w:right w:val="none" w:sz="0" w:space="0" w:color="auto"/>
                      </w:divBdr>
                      <w:divsChild>
                        <w:div w:id="420614191">
                          <w:marLeft w:val="0"/>
                          <w:marRight w:val="0"/>
                          <w:marTop w:val="0"/>
                          <w:marBottom w:val="0"/>
                          <w:divBdr>
                            <w:top w:val="none" w:sz="0" w:space="0" w:color="auto"/>
                            <w:left w:val="none" w:sz="0" w:space="0" w:color="auto"/>
                            <w:bottom w:val="none" w:sz="0" w:space="0" w:color="auto"/>
                            <w:right w:val="none" w:sz="0" w:space="0" w:color="auto"/>
                          </w:divBdr>
                          <w:divsChild>
                            <w:div w:id="695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327127">
      <w:bodyDiv w:val="1"/>
      <w:marLeft w:val="0"/>
      <w:marRight w:val="0"/>
      <w:marTop w:val="0"/>
      <w:marBottom w:val="0"/>
      <w:divBdr>
        <w:top w:val="none" w:sz="0" w:space="0" w:color="auto"/>
        <w:left w:val="none" w:sz="0" w:space="0" w:color="auto"/>
        <w:bottom w:val="none" w:sz="0" w:space="0" w:color="auto"/>
        <w:right w:val="none" w:sz="0" w:space="0" w:color="auto"/>
      </w:divBdr>
      <w:divsChild>
        <w:div w:id="1307315358">
          <w:marLeft w:val="0"/>
          <w:marRight w:val="0"/>
          <w:marTop w:val="0"/>
          <w:marBottom w:val="0"/>
          <w:divBdr>
            <w:top w:val="none" w:sz="0" w:space="0" w:color="auto"/>
            <w:left w:val="none" w:sz="0" w:space="0" w:color="auto"/>
            <w:bottom w:val="none" w:sz="0" w:space="0" w:color="auto"/>
            <w:right w:val="none" w:sz="0" w:space="0" w:color="auto"/>
          </w:divBdr>
          <w:divsChild>
            <w:div w:id="648948948">
              <w:marLeft w:val="0"/>
              <w:marRight w:val="0"/>
              <w:marTop w:val="0"/>
              <w:marBottom w:val="0"/>
              <w:divBdr>
                <w:top w:val="none" w:sz="0" w:space="0" w:color="auto"/>
                <w:left w:val="none" w:sz="0" w:space="0" w:color="auto"/>
                <w:bottom w:val="none" w:sz="0" w:space="0" w:color="auto"/>
                <w:right w:val="none" w:sz="0" w:space="0" w:color="auto"/>
              </w:divBdr>
              <w:divsChild>
                <w:div w:id="1046485635">
                  <w:marLeft w:val="0"/>
                  <w:marRight w:val="0"/>
                  <w:marTop w:val="0"/>
                  <w:marBottom w:val="0"/>
                  <w:divBdr>
                    <w:top w:val="none" w:sz="0" w:space="0" w:color="auto"/>
                    <w:left w:val="none" w:sz="0" w:space="0" w:color="auto"/>
                    <w:bottom w:val="none" w:sz="0" w:space="0" w:color="auto"/>
                    <w:right w:val="none" w:sz="0" w:space="0" w:color="auto"/>
                  </w:divBdr>
                  <w:divsChild>
                    <w:div w:id="1251428695">
                      <w:marLeft w:val="0"/>
                      <w:marRight w:val="0"/>
                      <w:marTop w:val="0"/>
                      <w:marBottom w:val="0"/>
                      <w:divBdr>
                        <w:top w:val="none" w:sz="0" w:space="0" w:color="auto"/>
                        <w:left w:val="none" w:sz="0" w:space="0" w:color="auto"/>
                        <w:bottom w:val="none" w:sz="0" w:space="0" w:color="auto"/>
                        <w:right w:val="none" w:sz="0" w:space="0" w:color="auto"/>
                      </w:divBdr>
                      <w:divsChild>
                        <w:div w:id="2024436432">
                          <w:marLeft w:val="0"/>
                          <w:marRight w:val="0"/>
                          <w:marTop w:val="0"/>
                          <w:marBottom w:val="0"/>
                          <w:divBdr>
                            <w:top w:val="none" w:sz="0" w:space="0" w:color="auto"/>
                            <w:left w:val="none" w:sz="0" w:space="0" w:color="auto"/>
                            <w:bottom w:val="none" w:sz="0" w:space="0" w:color="auto"/>
                            <w:right w:val="none" w:sz="0" w:space="0" w:color="auto"/>
                          </w:divBdr>
                          <w:divsChild>
                            <w:div w:id="12565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800828">
      <w:bodyDiv w:val="1"/>
      <w:marLeft w:val="0"/>
      <w:marRight w:val="0"/>
      <w:marTop w:val="0"/>
      <w:marBottom w:val="0"/>
      <w:divBdr>
        <w:top w:val="none" w:sz="0" w:space="0" w:color="auto"/>
        <w:left w:val="none" w:sz="0" w:space="0" w:color="auto"/>
        <w:bottom w:val="none" w:sz="0" w:space="0" w:color="auto"/>
        <w:right w:val="none" w:sz="0" w:space="0" w:color="auto"/>
      </w:divBdr>
      <w:divsChild>
        <w:div w:id="1524368778">
          <w:marLeft w:val="0"/>
          <w:marRight w:val="0"/>
          <w:marTop w:val="0"/>
          <w:marBottom w:val="0"/>
          <w:divBdr>
            <w:top w:val="none" w:sz="0" w:space="0" w:color="auto"/>
            <w:left w:val="none" w:sz="0" w:space="0" w:color="auto"/>
            <w:bottom w:val="none" w:sz="0" w:space="0" w:color="auto"/>
            <w:right w:val="none" w:sz="0" w:space="0" w:color="auto"/>
          </w:divBdr>
          <w:divsChild>
            <w:div w:id="2044354649">
              <w:marLeft w:val="0"/>
              <w:marRight w:val="0"/>
              <w:marTop w:val="0"/>
              <w:marBottom w:val="0"/>
              <w:divBdr>
                <w:top w:val="none" w:sz="0" w:space="0" w:color="auto"/>
                <w:left w:val="none" w:sz="0" w:space="0" w:color="auto"/>
                <w:bottom w:val="none" w:sz="0" w:space="0" w:color="auto"/>
                <w:right w:val="none" w:sz="0" w:space="0" w:color="auto"/>
              </w:divBdr>
              <w:divsChild>
                <w:div w:id="1722317659">
                  <w:marLeft w:val="0"/>
                  <w:marRight w:val="0"/>
                  <w:marTop w:val="0"/>
                  <w:marBottom w:val="0"/>
                  <w:divBdr>
                    <w:top w:val="none" w:sz="0" w:space="0" w:color="auto"/>
                    <w:left w:val="none" w:sz="0" w:space="0" w:color="auto"/>
                    <w:bottom w:val="none" w:sz="0" w:space="0" w:color="auto"/>
                    <w:right w:val="none" w:sz="0" w:space="0" w:color="auto"/>
                  </w:divBdr>
                  <w:divsChild>
                    <w:div w:id="1501507917">
                      <w:marLeft w:val="0"/>
                      <w:marRight w:val="0"/>
                      <w:marTop w:val="0"/>
                      <w:marBottom w:val="0"/>
                      <w:divBdr>
                        <w:top w:val="none" w:sz="0" w:space="0" w:color="auto"/>
                        <w:left w:val="none" w:sz="0" w:space="0" w:color="auto"/>
                        <w:bottom w:val="none" w:sz="0" w:space="0" w:color="auto"/>
                        <w:right w:val="none" w:sz="0" w:space="0" w:color="auto"/>
                      </w:divBdr>
                      <w:divsChild>
                        <w:div w:id="1542208315">
                          <w:marLeft w:val="0"/>
                          <w:marRight w:val="0"/>
                          <w:marTop w:val="0"/>
                          <w:marBottom w:val="0"/>
                          <w:divBdr>
                            <w:top w:val="none" w:sz="0" w:space="0" w:color="auto"/>
                            <w:left w:val="none" w:sz="0" w:space="0" w:color="auto"/>
                            <w:bottom w:val="none" w:sz="0" w:space="0" w:color="auto"/>
                            <w:right w:val="none" w:sz="0" w:space="0" w:color="auto"/>
                          </w:divBdr>
                          <w:divsChild>
                            <w:div w:id="1523092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 w:id="412774547">
      <w:bodyDiv w:val="1"/>
      <w:marLeft w:val="0"/>
      <w:marRight w:val="0"/>
      <w:marTop w:val="0"/>
      <w:marBottom w:val="0"/>
      <w:divBdr>
        <w:top w:val="none" w:sz="0" w:space="0" w:color="auto"/>
        <w:left w:val="none" w:sz="0" w:space="0" w:color="auto"/>
        <w:bottom w:val="none" w:sz="0" w:space="0" w:color="auto"/>
        <w:right w:val="none" w:sz="0" w:space="0" w:color="auto"/>
      </w:divBdr>
    </w:div>
    <w:div w:id="540627679">
      <w:bodyDiv w:val="1"/>
      <w:marLeft w:val="0"/>
      <w:marRight w:val="0"/>
      <w:marTop w:val="0"/>
      <w:marBottom w:val="0"/>
      <w:divBdr>
        <w:top w:val="none" w:sz="0" w:space="0" w:color="auto"/>
        <w:left w:val="none" w:sz="0" w:space="0" w:color="auto"/>
        <w:bottom w:val="none" w:sz="0" w:space="0" w:color="auto"/>
        <w:right w:val="none" w:sz="0" w:space="0" w:color="auto"/>
      </w:divBdr>
    </w:div>
    <w:div w:id="575286410">
      <w:bodyDiv w:val="1"/>
      <w:marLeft w:val="0"/>
      <w:marRight w:val="0"/>
      <w:marTop w:val="0"/>
      <w:marBottom w:val="0"/>
      <w:divBdr>
        <w:top w:val="none" w:sz="0" w:space="0" w:color="auto"/>
        <w:left w:val="none" w:sz="0" w:space="0" w:color="auto"/>
        <w:bottom w:val="none" w:sz="0" w:space="0" w:color="auto"/>
        <w:right w:val="none" w:sz="0" w:space="0" w:color="auto"/>
      </w:divBdr>
      <w:divsChild>
        <w:div w:id="1479228361">
          <w:marLeft w:val="0"/>
          <w:marRight w:val="0"/>
          <w:marTop w:val="0"/>
          <w:marBottom w:val="0"/>
          <w:divBdr>
            <w:top w:val="none" w:sz="0" w:space="0" w:color="auto"/>
            <w:left w:val="none" w:sz="0" w:space="0" w:color="auto"/>
            <w:bottom w:val="none" w:sz="0" w:space="0" w:color="auto"/>
            <w:right w:val="none" w:sz="0" w:space="0" w:color="auto"/>
          </w:divBdr>
          <w:divsChild>
            <w:div w:id="456917882">
              <w:marLeft w:val="0"/>
              <w:marRight w:val="0"/>
              <w:marTop w:val="0"/>
              <w:marBottom w:val="0"/>
              <w:divBdr>
                <w:top w:val="none" w:sz="0" w:space="0" w:color="auto"/>
                <w:left w:val="none" w:sz="0" w:space="0" w:color="auto"/>
                <w:bottom w:val="none" w:sz="0" w:space="0" w:color="auto"/>
                <w:right w:val="none" w:sz="0" w:space="0" w:color="auto"/>
              </w:divBdr>
              <w:divsChild>
                <w:div w:id="163785968">
                  <w:marLeft w:val="0"/>
                  <w:marRight w:val="0"/>
                  <w:marTop w:val="0"/>
                  <w:marBottom w:val="0"/>
                  <w:divBdr>
                    <w:top w:val="none" w:sz="0" w:space="0" w:color="auto"/>
                    <w:left w:val="none" w:sz="0" w:space="0" w:color="auto"/>
                    <w:bottom w:val="none" w:sz="0" w:space="0" w:color="auto"/>
                    <w:right w:val="none" w:sz="0" w:space="0" w:color="auto"/>
                  </w:divBdr>
                  <w:divsChild>
                    <w:div w:id="1732072958">
                      <w:marLeft w:val="0"/>
                      <w:marRight w:val="0"/>
                      <w:marTop w:val="0"/>
                      <w:marBottom w:val="0"/>
                      <w:divBdr>
                        <w:top w:val="none" w:sz="0" w:space="0" w:color="auto"/>
                        <w:left w:val="none" w:sz="0" w:space="0" w:color="auto"/>
                        <w:bottom w:val="none" w:sz="0" w:space="0" w:color="auto"/>
                        <w:right w:val="none" w:sz="0" w:space="0" w:color="auto"/>
                      </w:divBdr>
                      <w:divsChild>
                        <w:div w:id="1764569331">
                          <w:marLeft w:val="0"/>
                          <w:marRight w:val="0"/>
                          <w:marTop w:val="0"/>
                          <w:marBottom w:val="0"/>
                          <w:divBdr>
                            <w:top w:val="none" w:sz="0" w:space="0" w:color="auto"/>
                            <w:left w:val="none" w:sz="0" w:space="0" w:color="auto"/>
                            <w:bottom w:val="none" w:sz="0" w:space="0" w:color="auto"/>
                            <w:right w:val="none" w:sz="0" w:space="0" w:color="auto"/>
                          </w:divBdr>
                          <w:divsChild>
                            <w:div w:id="14528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720407">
      <w:bodyDiv w:val="1"/>
      <w:marLeft w:val="0"/>
      <w:marRight w:val="0"/>
      <w:marTop w:val="0"/>
      <w:marBottom w:val="0"/>
      <w:divBdr>
        <w:top w:val="none" w:sz="0" w:space="0" w:color="auto"/>
        <w:left w:val="none" w:sz="0" w:space="0" w:color="auto"/>
        <w:bottom w:val="none" w:sz="0" w:space="0" w:color="auto"/>
        <w:right w:val="none" w:sz="0" w:space="0" w:color="auto"/>
      </w:divBdr>
      <w:divsChild>
        <w:div w:id="1469780007">
          <w:marLeft w:val="0"/>
          <w:marRight w:val="0"/>
          <w:marTop w:val="720"/>
          <w:marBottom w:val="720"/>
          <w:divBdr>
            <w:top w:val="none" w:sz="0" w:space="0" w:color="auto"/>
            <w:left w:val="none" w:sz="0" w:space="0" w:color="auto"/>
            <w:bottom w:val="none" w:sz="0" w:space="0" w:color="auto"/>
            <w:right w:val="none" w:sz="0" w:space="0" w:color="auto"/>
          </w:divBdr>
          <w:divsChild>
            <w:div w:id="2059238151">
              <w:marLeft w:val="0"/>
              <w:marRight w:val="0"/>
              <w:marTop w:val="0"/>
              <w:marBottom w:val="0"/>
              <w:divBdr>
                <w:top w:val="none" w:sz="0" w:space="0" w:color="auto"/>
                <w:left w:val="none" w:sz="0" w:space="0" w:color="auto"/>
                <w:bottom w:val="none" w:sz="0" w:space="0" w:color="auto"/>
                <w:right w:val="none" w:sz="0" w:space="0" w:color="auto"/>
              </w:divBdr>
              <w:divsChild>
                <w:div w:id="1801222479">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610086626">
      <w:bodyDiv w:val="1"/>
      <w:marLeft w:val="0"/>
      <w:marRight w:val="0"/>
      <w:marTop w:val="0"/>
      <w:marBottom w:val="0"/>
      <w:divBdr>
        <w:top w:val="none" w:sz="0" w:space="0" w:color="auto"/>
        <w:left w:val="none" w:sz="0" w:space="0" w:color="auto"/>
        <w:bottom w:val="none" w:sz="0" w:space="0" w:color="auto"/>
        <w:right w:val="none" w:sz="0" w:space="0" w:color="auto"/>
      </w:divBdr>
    </w:div>
    <w:div w:id="635648280">
      <w:bodyDiv w:val="1"/>
      <w:marLeft w:val="0"/>
      <w:marRight w:val="0"/>
      <w:marTop w:val="0"/>
      <w:marBottom w:val="0"/>
      <w:divBdr>
        <w:top w:val="none" w:sz="0" w:space="0" w:color="auto"/>
        <w:left w:val="none" w:sz="0" w:space="0" w:color="auto"/>
        <w:bottom w:val="none" w:sz="0" w:space="0" w:color="auto"/>
        <w:right w:val="none" w:sz="0" w:space="0" w:color="auto"/>
      </w:divBdr>
    </w:div>
    <w:div w:id="680738904">
      <w:bodyDiv w:val="1"/>
      <w:marLeft w:val="0"/>
      <w:marRight w:val="0"/>
      <w:marTop w:val="0"/>
      <w:marBottom w:val="0"/>
      <w:divBdr>
        <w:top w:val="none" w:sz="0" w:space="0" w:color="auto"/>
        <w:left w:val="none" w:sz="0" w:space="0" w:color="auto"/>
        <w:bottom w:val="none" w:sz="0" w:space="0" w:color="auto"/>
        <w:right w:val="none" w:sz="0" w:space="0" w:color="auto"/>
      </w:divBdr>
      <w:divsChild>
        <w:div w:id="714545692">
          <w:marLeft w:val="0"/>
          <w:marRight w:val="0"/>
          <w:marTop w:val="720"/>
          <w:marBottom w:val="720"/>
          <w:divBdr>
            <w:top w:val="none" w:sz="0" w:space="0" w:color="auto"/>
            <w:left w:val="none" w:sz="0" w:space="0" w:color="auto"/>
            <w:bottom w:val="none" w:sz="0" w:space="0" w:color="auto"/>
            <w:right w:val="none" w:sz="0" w:space="0" w:color="auto"/>
          </w:divBdr>
          <w:divsChild>
            <w:div w:id="631787750">
              <w:marLeft w:val="0"/>
              <w:marRight w:val="0"/>
              <w:marTop w:val="0"/>
              <w:marBottom w:val="0"/>
              <w:divBdr>
                <w:top w:val="none" w:sz="0" w:space="0" w:color="auto"/>
                <w:left w:val="none" w:sz="0" w:space="0" w:color="auto"/>
                <w:bottom w:val="none" w:sz="0" w:space="0" w:color="auto"/>
                <w:right w:val="none" w:sz="0" w:space="0" w:color="auto"/>
              </w:divBdr>
              <w:divsChild>
                <w:div w:id="1907181130">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733162368">
      <w:bodyDiv w:val="1"/>
      <w:marLeft w:val="0"/>
      <w:marRight w:val="0"/>
      <w:marTop w:val="0"/>
      <w:marBottom w:val="0"/>
      <w:divBdr>
        <w:top w:val="none" w:sz="0" w:space="0" w:color="auto"/>
        <w:left w:val="none" w:sz="0" w:space="0" w:color="auto"/>
        <w:bottom w:val="none" w:sz="0" w:space="0" w:color="auto"/>
        <w:right w:val="none" w:sz="0" w:space="0" w:color="auto"/>
      </w:divBdr>
      <w:divsChild>
        <w:div w:id="322199269">
          <w:marLeft w:val="0"/>
          <w:marRight w:val="0"/>
          <w:marTop w:val="0"/>
          <w:marBottom w:val="0"/>
          <w:divBdr>
            <w:top w:val="none" w:sz="0" w:space="0" w:color="auto"/>
            <w:left w:val="none" w:sz="0" w:space="0" w:color="auto"/>
            <w:bottom w:val="none" w:sz="0" w:space="0" w:color="auto"/>
            <w:right w:val="none" w:sz="0" w:space="0" w:color="auto"/>
          </w:divBdr>
          <w:divsChild>
            <w:div w:id="1125852076">
              <w:marLeft w:val="0"/>
              <w:marRight w:val="0"/>
              <w:marTop w:val="0"/>
              <w:marBottom w:val="0"/>
              <w:divBdr>
                <w:top w:val="none" w:sz="0" w:space="0" w:color="auto"/>
                <w:left w:val="none" w:sz="0" w:space="0" w:color="auto"/>
                <w:bottom w:val="none" w:sz="0" w:space="0" w:color="auto"/>
                <w:right w:val="none" w:sz="0" w:space="0" w:color="auto"/>
              </w:divBdr>
              <w:divsChild>
                <w:div w:id="770126640">
                  <w:marLeft w:val="0"/>
                  <w:marRight w:val="0"/>
                  <w:marTop w:val="0"/>
                  <w:marBottom w:val="0"/>
                  <w:divBdr>
                    <w:top w:val="none" w:sz="0" w:space="0" w:color="auto"/>
                    <w:left w:val="none" w:sz="0" w:space="0" w:color="auto"/>
                    <w:bottom w:val="none" w:sz="0" w:space="0" w:color="auto"/>
                    <w:right w:val="none" w:sz="0" w:space="0" w:color="auto"/>
                  </w:divBdr>
                  <w:divsChild>
                    <w:div w:id="1527790230">
                      <w:marLeft w:val="0"/>
                      <w:marRight w:val="0"/>
                      <w:marTop w:val="0"/>
                      <w:marBottom w:val="0"/>
                      <w:divBdr>
                        <w:top w:val="none" w:sz="0" w:space="0" w:color="auto"/>
                        <w:left w:val="none" w:sz="0" w:space="0" w:color="auto"/>
                        <w:bottom w:val="none" w:sz="0" w:space="0" w:color="auto"/>
                        <w:right w:val="none" w:sz="0" w:space="0" w:color="auto"/>
                      </w:divBdr>
                      <w:divsChild>
                        <w:div w:id="1677268656">
                          <w:marLeft w:val="0"/>
                          <w:marRight w:val="0"/>
                          <w:marTop w:val="0"/>
                          <w:marBottom w:val="0"/>
                          <w:divBdr>
                            <w:top w:val="none" w:sz="0" w:space="0" w:color="auto"/>
                            <w:left w:val="none" w:sz="0" w:space="0" w:color="auto"/>
                            <w:bottom w:val="none" w:sz="0" w:space="0" w:color="auto"/>
                            <w:right w:val="none" w:sz="0" w:space="0" w:color="auto"/>
                          </w:divBdr>
                          <w:divsChild>
                            <w:div w:id="1129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172252">
      <w:bodyDiv w:val="1"/>
      <w:marLeft w:val="0"/>
      <w:marRight w:val="0"/>
      <w:marTop w:val="0"/>
      <w:marBottom w:val="0"/>
      <w:divBdr>
        <w:top w:val="none" w:sz="0" w:space="0" w:color="auto"/>
        <w:left w:val="none" w:sz="0" w:space="0" w:color="auto"/>
        <w:bottom w:val="none" w:sz="0" w:space="0" w:color="auto"/>
        <w:right w:val="none" w:sz="0" w:space="0" w:color="auto"/>
      </w:divBdr>
    </w:div>
    <w:div w:id="789858085">
      <w:bodyDiv w:val="1"/>
      <w:marLeft w:val="0"/>
      <w:marRight w:val="0"/>
      <w:marTop w:val="0"/>
      <w:marBottom w:val="0"/>
      <w:divBdr>
        <w:top w:val="none" w:sz="0" w:space="0" w:color="auto"/>
        <w:left w:val="none" w:sz="0" w:space="0" w:color="auto"/>
        <w:bottom w:val="none" w:sz="0" w:space="0" w:color="auto"/>
        <w:right w:val="none" w:sz="0" w:space="0" w:color="auto"/>
      </w:divBdr>
      <w:divsChild>
        <w:div w:id="945695968">
          <w:marLeft w:val="0"/>
          <w:marRight w:val="0"/>
          <w:marTop w:val="0"/>
          <w:marBottom w:val="0"/>
          <w:divBdr>
            <w:top w:val="none" w:sz="0" w:space="0" w:color="auto"/>
            <w:left w:val="none" w:sz="0" w:space="0" w:color="auto"/>
            <w:bottom w:val="none" w:sz="0" w:space="0" w:color="auto"/>
            <w:right w:val="none" w:sz="0" w:space="0" w:color="auto"/>
          </w:divBdr>
          <w:divsChild>
            <w:div w:id="1968855972">
              <w:marLeft w:val="0"/>
              <w:marRight w:val="0"/>
              <w:marTop w:val="0"/>
              <w:marBottom w:val="0"/>
              <w:divBdr>
                <w:top w:val="none" w:sz="0" w:space="0" w:color="auto"/>
                <w:left w:val="none" w:sz="0" w:space="0" w:color="auto"/>
                <w:bottom w:val="none" w:sz="0" w:space="0" w:color="auto"/>
                <w:right w:val="none" w:sz="0" w:space="0" w:color="auto"/>
              </w:divBdr>
              <w:divsChild>
                <w:div w:id="1679652922">
                  <w:marLeft w:val="0"/>
                  <w:marRight w:val="0"/>
                  <w:marTop w:val="0"/>
                  <w:marBottom w:val="0"/>
                  <w:divBdr>
                    <w:top w:val="none" w:sz="0" w:space="0" w:color="auto"/>
                    <w:left w:val="none" w:sz="0" w:space="0" w:color="auto"/>
                    <w:bottom w:val="none" w:sz="0" w:space="0" w:color="auto"/>
                    <w:right w:val="none" w:sz="0" w:space="0" w:color="auto"/>
                  </w:divBdr>
                  <w:divsChild>
                    <w:div w:id="1186482137">
                      <w:marLeft w:val="0"/>
                      <w:marRight w:val="0"/>
                      <w:marTop w:val="0"/>
                      <w:marBottom w:val="0"/>
                      <w:divBdr>
                        <w:top w:val="none" w:sz="0" w:space="0" w:color="auto"/>
                        <w:left w:val="none" w:sz="0" w:space="0" w:color="auto"/>
                        <w:bottom w:val="none" w:sz="0" w:space="0" w:color="auto"/>
                        <w:right w:val="none" w:sz="0" w:space="0" w:color="auto"/>
                      </w:divBdr>
                      <w:divsChild>
                        <w:div w:id="416023641">
                          <w:marLeft w:val="0"/>
                          <w:marRight w:val="0"/>
                          <w:marTop w:val="0"/>
                          <w:marBottom w:val="0"/>
                          <w:divBdr>
                            <w:top w:val="none" w:sz="0" w:space="0" w:color="auto"/>
                            <w:left w:val="none" w:sz="0" w:space="0" w:color="auto"/>
                            <w:bottom w:val="none" w:sz="0" w:space="0" w:color="auto"/>
                            <w:right w:val="none" w:sz="0" w:space="0" w:color="auto"/>
                          </w:divBdr>
                          <w:divsChild>
                            <w:div w:id="112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975013">
      <w:bodyDiv w:val="1"/>
      <w:marLeft w:val="0"/>
      <w:marRight w:val="0"/>
      <w:marTop w:val="0"/>
      <w:marBottom w:val="0"/>
      <w:divBdr>
        <w:top w:val="none" w:sz="0" w:space="0" w:color="auto"/>
        <w:left w:val="none" w:sz="0" w:space="0" w:color="auto"/>
        <w:bottom w:val="none" w:sz="0" w:space="0" w:color="auto"/>
        <w:right w:val="none" w:sz="0" w:space="0" w:color="auto"/>
      </w:divBdr>
    </w:div>
    <w:div w:id="870067657">
      <w:bodyDiv w:val="1"/>
      <w:marLeft w:val="0"/>
      <w:marRight w:val="0"/>
      <w:marTop w:val="0"/>
      <w:marBottom w:val="0"/>
      <w:divBdr>
        <w:top w:val="none" w:sz="0" w:space="0" w:color="auto"/>
        <w:left w:val="none" w:sz="0" w:space="0" w:color="auto"/>
        <w:bottom w:val="none" w:sz="0" w:space="0" w:color="auto"/>
        <w:right w:val="none" w:sz="0" w:space="0" w:color="auto"/>
      </w:divBdr>
      <w:divsChild>
        <w:div w:id="1821530667">
          <w:marLeft w:val="0"/>
          <w:marRight w:val="0"/>
          <w:marTop w:val="0"/>
          <w:marBottom w:val="0"/>
          <w:divBdr>
            <w:top w:val="none" w:sz="0" w:space="0" w:color="auto"/>
            <w:left w:val="none" w:sz="0" w:space="0" w:color="auto"/>
            <w:bottom w:val="none" w:sz="0" w:space="0" w:color="auto"/>
            <w:right w:val="none" w:sz="0" w:space="0" w:color="auto"/>
          </w:divBdr>
          <w:divsChild>
            <w:div w:id="187328922">
              <w:marLeft w:val="0"/>
              <w:marRight w:val="0"/>
              <w:marTop w:val="0"/>
              <w:marBottom w:val="0"/>
              <w:divBdr>
                <w:top w:val="none" w:sz="0" w:space="0" w:color="auto"/>
                <w:left w:val="none" w:sz="0" w:space="0" w:color="auto"/>
                <w:bottom w:val="none" w:sz="0" w:space="0" w:color="auto"/>
                <w:right w:val="none" w:sz="0" w:space="0" w:color="auto"/>
              </w:divBdr>
              <w:divsChild>
                <w:div w:id="1204252063">
                  <w:marLeft w:val="0"/>
                  <w:marRight w:val="0"/>
                  <w:marTop w:val="0"/>
                  <w:marBottom w:val="0"/>
                  <w:divBdr>
                    <w:top w:val="none" w:sz="0" w:space="0" w:color="auto"/>
                    <w:left w:val="none" w:sz="0" w:space="0" w:color="auto"/>
                    <w:bottom w:val="none" w:sz="0" w:space="0" w:color="auto"/>
                    <w:right w:val="none" w:sz="0" w:space="0" w:color="auto"/>
                  </w:divBdr>
                  <w:divsChild>
                    <w:div w:id="1590656211">
                      <w:marLeft w:val="0"/>
                      <w:marRight w:val="0"/>
                      <w:marTop w:val="0"/>
                      <w:marBottom w:val="0"/>
                      <w:divBdr>
                        <w:top w:val="none" w:sz="0" w:space="0" w:color="auto"/>
                        <w:left w:val="none" w:sz="0" w:space="0" w:color="auto"/>
                        <w:bottom w:val="none" w:sz="0" w:space="0" w:color="auto"/>
                        <w:right w:val="none" w:sz="0" w:space="0" w:color="auto"/>
                      </w:divBdr>
                      <w:divsChild>
                        <w:div w:id="426732567">
                          <w:marLeft w:val="0"/>
                          <w:marRight w:val="0"/>
                          <w:marTop w:val="0"/>
                          <w:marBottom w:val="0"/>
                          <w:divBdr>
                            <w:top w:val="none" w:sz="0" w:space="0" w:color="auto"/>
                            <w:left w:val="none" w:sz="0" w:space="0" w:color="auto"/>
                            <w:bottom w:val="none" w:sz="0" w:space="0" w:color="auto"/>
                            <w:right w:val="none" w:sz="0" w:space="0" w:color="auto"/>
                          </w:divBdr>
                          <w:divsChild>
                            <w:div w:id="13572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36397">
      <w:bodyDiv w:val="1"/>
      <w:marLeft w:val="0"/>
      <w:marRight w:val="0"/>
      <w:marTop w:val="0"/>
      <w:marBottom w:val="0"/>
      <w:divBdr>
        <w:top w:val="none" w:sz="0" w:space="0" w:color="auto"/>
        <w:left w:val="none" w:sz="0" w:space="0" w:color="auto"/>
        <w:bottom w:val="none" w:sz="0" w:space="0" w:color="auto"/>
        <w:right w:val="none" w:sz="0" w:space="0" w:color="auto"/>
      </w:divBdr>
    </w:div>
    <w:div w:id="1057121816">
      <w:bodyDiv w:val="1"/>
      <w:marLeft w:val="0"/>
      <w:marRight w:val="0"/>
      <w:marTop w:val="0"/>
      <w:marBottom w:val="0"/>
      <w:divBdr>
        <w:top w:val="none" w:sz="0" w:space="0" w:color="auto"/>
        <w:left w:val="none" w:sz="0" w:space="0" w:color="auto"/>
        <w:bottom w:val="none" w:sz="0" w:space="0" w:color="auto"/>
        <w:right w:val="none" w:sz="0" w:space="0" w:color="auto"/>
      </w:divBdr>
    </w:div>
    <w:div w:id="1093941050">
      <w:bodyDiv w:val="1"/>
      <w:marLeft w:val="0"/>
      <w:marRight w:val="0"/>
      <w:marTop w:val="0"/>
      <w:marBottom w:val="0"/>
      <w:divBdr>
        <w:top w:val="none" w:sz="0" w:space="0" w:color="auto"/>
        <w:left w:val="none" w:sz="0" w:space="0" w:color="auto"/>
        <w:bottom w:val="none" w:sz="0" w:space="0" w:color="auto"/>
        <w:right w:val="none" w:sz="0" w:space="0" w:color="auto"/>
      </w:divBdr>
    </w:div>
    <w:div w:id="1163349406">
      <w:bodyDiv w:val="1"/>
      <w:marLeft w:val="0"/>
      <w:marRight w:val="0"/>
      <w:marTop w:val="0"/>
      <w:marBottom w:val="0"/>
      <w:divBdr>
        <w:top w:val="none" w:sz="0" w:space="0" w:color="auto"/>
        <w:left w:val="none" w:sz="0" w:space="0" w:color="auto"/>
        <w:bottom w:val="none" w:sz="0" w:space="0" w:color="auto"/>
        <w:right w:val="none" w:sz="0" w:space="0" w:color="auto"/>
      </w:divBdr>
    </w:div>
    <w:div w:id="1201822444">
      <w:bodyDiv w:val="1"/>
      <w:marLeft w:val="0"/>
      <w:marRight w:val="0"/>
      <w:marTop w:val="0"/>
      <w:marBottom w:val="0"/>
      <w:divBdr>
        <w:top w:val="none" w:sz="0" w:space="0" w:color="auto"/>
        <w:left w:val="none" w:sz="0" w:space="0" w:color="auto"/>
        <w:bottom w:val="none" w:sz="0" w:space="0" w:color="auto"/>
        <w:right w:val="none" w:sz="0" w:space="0" w:color="auto"/>
      </w:divBdr>
    </w:div>
    <w:div w:id="1230117439">
      <w:bodyDiv w:val="1"/>
      <w:marLeft w:val="0"/>
      <w:marRight w:val="0"/>
      <w:marTop w:val="0"/>
      <w:marBottom w:val="0"/>
      <w:divBdr>
        <w:top w:val="none" w:sz="0" w:space="0" w:color="auto"/>
        <w:left w:val="none" w:sz="0" w:space="0" w:color="auto"/>
        <w:bottom w:val="none" w:sz="0" w:space="0" w:color="auto"/>
        <w:right w:val="none" w:sz="0" w:space="0" w:color="auto"/>
      </w:divBdr>
    </w:div>
    <w:div w:id="1319456398">
      <w:bodyDiv w:val="1"/>
      <w:marLeft w:val="0"/>
      <w:marRight w:val="0"/>
      <w:marTop w:val="0"/>
      <w:marBottom w:val="0"/>
      <w:divBdr>
        <w:top w:val="none" w:sz="0" w:space="0" w:color="auto"/>
        <w:left w:val="none" w:sz="0" w:space="0" w:color="auto"/>
        <w:bottom w:val="none" w:sz="0" w:space="0" w:color="auto"/>
        <w:right w:val="none" w:sz="0" w:space="0" w:color="auto"/>
      </w:divBdr>
    </w:div>
    <w:div w:id="1328366384">
      <w:bodyDiv w:val="1"/>
      <w:marLeft w:val="0"/>
      <w:marRight w:val="0"/>
      <w:marTop w:val="0"/>
      <w:marBottom w:val="0"/>
      <w:divBdr>
        <w:top w:val="none" w:sz="0" w:space="0" w:color="auto"/>
        <w:left w:val="none" w:sz="0" w:space="0" w:color="auto"/>
        <w:bottom w:val="none" w:sz="0" w:space="0" w:color="auto"/>
        <w:right w:val="none" w:sz="0" w:space="0" w:color="auto"/>
      </w:divBdr>
      <w:divsChild>
        <w:div w:id="1236434187">
          <w:marLeft w:val="0"/>
          <w:marRight w:val="0"/>
          <w:marTop w:val="0"/>
          <w:marBottom w:val="0"/>
          <w:divBdr>
            <w:top w:val="none" w:sz="0" w:space="0" w:color="auto"/>
            <w:left w:val="none" w:sz="0" w:space="0" w:color="auto"/>
            <w:bottom w:val="none" w:sz="0" w:space="0" w:color="auto"/>
            <w:right w:val="none" w:sz="0" w:space="0" w:color="auto"/>
          </w:divBdr>
          <w:divsChild>
            <w:div w:id="1143933624">
              <w:marLeft w:val="0"/>
              <w:marRight w:val="0"/>
              <w:marTop w:val="0"/>
              <w:marBottom w:val="0"/>
              <w:divBdr>
                <w:top w:val="none" w:sz="0" w:space="0" w:color="auto"/>
                <w:left w:val="none" w:sz="0" w:space="0" w:color="auto"/>
                <w:bottom w:val="none" w:sz="0" w:space="0" w:color="auto"/>
                <w:right w:val="none" w:sz="0" w:space="0" w:color="auto"/>
              </w:divBdr>
              <w:divsChild>
                <w:div w:id="68159023">
                  <w:marLeft w:val="0"/>
                  <w:marRight w:val="0"/>
                  <w:marTop w:val="0"/>
                  <w:marBottom w:val="0"/>
                  <w:divBdr>
                    <w:top w:val="none" w:sz="0" w:space="0" w:color="auto"/>
                    <w:left w:val="none" w:sz="0" w:space="0" w:color="auto"/>
                    <w:bottom w:val="none" w:sz="0" w:space="0" w:color="auto"/>
                    <w:right w:val="none" w:sz="0" w:space="0" w:color="auto"/>
                  </w:divBdr>
                  <w:divsChild>
                    <w:div w:id="1241519776">
                      <w:marLeft w:val="0"/>
                      <w:marRight w:val="0"/>
                      <w:marTop w:val="0"/>
                      <w:marBottom w:val="0"/>
                      <w:divBdr>
                        <w:top w:val="none" w:sz="0" w:space="0" w:color="auto"/>
                        <w:left w:val="none" w:sz="0" w:space="0" w:color="auto"/>
                        <w:bottom w:val="none" w:sz="0" w:space="0" w:color="auto"/>
                        <w:right w:val="none" w:sz="0" w:space="0" w:color="auto"/>
                      </w:divBdr>
                      <w:divsChild>
                        <w:div w:id="967664695">
                          <w:marLeft w:val="0"/>
                          <w:marRight w:val="0"/>
                          <w:marTop w:val="0"/>
                          <w:marBottom w:val="0"/>
                          <w:divBdr>
                            <w:top w:val="none" w:sz="0" w:space="0" w:color="auto"/>
                            <w:left w:val="none" w:sz="0" w:space="0" w:color="auto"/>
                            <w:bottom w:val="none" w:sz="0" w:space="0" w:color="auto"/>
                            <w:right w:val="none" w:sz="0" w:space="0" w:color="auto"/>
                          </w:divBdr>
                          <w:divsChild>
                            <w:div w:id="17886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594358">
      <w:bodyDiv w:val="1"/>
      <w:marLeft w:val="0"/>
      <w:marRight w:val="0"/>
      <w:marTop w:val="0"/>
      <w:marBottom w:val="0"/>
      <w:divBdr>
        <w:top w:val="none" w:sz="0" w:space="0" w:color="auto"/>
        <w:left w:val="none" w:sz="0" w:space="0" w:color="auto"/>
        <w:bottom w:val="none" w:sz="0" w:space="0" w:color="auto"/>
        <w:right w:val="none" w:sz="0" w:space="0" w:color="auto"/>
      </w:divBdr>
    </w:div>
    <w:div w:id="1592931845">
      <w:bodyDiv w:val="1"/>
      <w:marLeft w:val="0"/>
      <w:marRight w:val="0"/>
      <w:marTop w:val="0"/>
      <w:marBottom w:val="0"/>
      <w:divBdr>
        <w:top w:val="none" w:sz="0" w:space="0" w:color="auto"/>
        <w:left w:val="none" w:sz="0" w:space="0" w:color="auto"/>
        <w:bottom w:val="none" w:sz="0" w:space="0" w:color="auto"/>
        <w:right w:val="none" w:sz="0" w:space="0" w:color="auto"/>
      </w:divBdr>
      <w:divsChild>
        <w:div w:id="456797686">
          <w:marLeft w:val="0"/>
          <w:marRight w:val="0"/>
          <w:marTop w:val="720"/>
          <w:marBottom w:val="720"/>
          <w:divBdr>
            <w:top w:val="none" w:sz="0" w:space="0" w:color="auto"/>
            <w:left w:val="none" w:sz="0" w:space="0" w:color="auto"/>
            <w:bottom w:val="none" w:sz="0" w:space="0" w:color="auto"/>
            <w:right w:val="none" w:sz="0" w:space="0" w:color="auto"/>
          </w:divBdr>
          <w:divsChild>
            <w:div w:id="163325632">
              <w:marLeft w:val="0"/>
              <w:marRight w:val="0"/>
              <w:marTop w:val="0"/>
              <w:marBottom w:val="0"/>
              <w:divBdr>
                <w:top w:val="none" w:sz="0" w:space="0" w:color="auto"/>
                <w:left w:val="none" w:sz="0" w:space="0" w:color="auto"/>
                <w:bottom w:val="none" w:sz="0" w:space="0" w:color="auto"/>
                <w:right w:val="none" w:sz="0" w:space="0" w:color="auto"/>
              </w:divBdr>
              <w:divsChild>
                <w:div w:id="106704683">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600479572">
      <w:bodyDiv w:val="1"/>
      <w:marLeft w:val="0"/>
      <w:marRight w:val="0"/>
      <w:marTop w:val="0"/>
      <w:marBottom w:val="0"/>
      <w:divBdr>
        <w:top w:val="none" w:sz="0" w:space="0" w:color="auto"/>
        <w:left w:val="none" w:sz="0" w:space="0" w:color="auto"/>
        <w:bottom w:val="none" w:sz="0" w:space="0" w:color="auto"/>
        <w:right w:val="none" w:sz="0" w:space="0" w:color="auto"/>
      </w:divBdr>
    </w:div>
    <w:div w:id="1602566440">
      <w:bodyDiv w:val="1"/>
      <w:marLeft w:val="0"/>
      <w:marRight w:val="0"/>
      <w:marTop w:val="0"/>
      <w:marBottom w:val="0"/>
      <w:divBdr>
        <w:top w:val="none" w:sz="0" w:space="0" w:color="auto"/>
        <w:left w:val="none" w:sz="0" w:space="0" w:color="auto"/>
        <w:bottom w:val="none" w:sz="0" w:space="0" w:color="auto"/>
        <w:right w:val="none" w:sz="0" w:space="0" w:color="auto"/>
      </w:divBdr>
    </w:div>
    <w:div w:id="1615668564">
      <w:bodyDiv w:val="1"/>
      <w:marLeft w:val="0"/>
      <w:marRight w:val="0"/>
      <w:marTop w:val="0"/>
      <w:marBottom w:val="0"/>
      <w:divBdr>
        <w:top w:val="none" w:sz="0" w:space="0" w:color="auto"/>
        <w:left w:val="none" w:sz="0" w:space="0" w:color="auto"/>
        <w:bottom w:val="none" w:sz="0" w:space="0" w:color="auto"/>
        <w:right w:val="none" w:sz="0" w:space="0" w:color="auto"/>
      </w:divBdr>
      <w:divsChild>
        <w:div w:id="569972556">
          <w:marLeft w:val="0"/>
          <w:marRight w:val="0"/>
          <w:marTop w:val="0"/>
          <w:marBottom w:val="0"/>
          <w:divBdr>
            <w:top w:val="none" w:sz="0" w:space="0" w:color="auto"/>
            <w:left w:val="none" w:sz="0" w:space="0" w:color="auto"/>
            <w:bottom w:val="none" w:sz="0" w:space="0" w:color="auto"/>
            <w:right w:val="none" w:sz="0" w:space="0" w:color="auto"/>
          </w:divBdr>
          <w:divsChild>
            <w:div w:id="910700308">
              <w:marLeft w:val="0"/>
              <w:marRight w:val="0"/>
              <w:marTop w:val="0"/>
              <w:marBottom w:val="0"/>
              <w:divBdr>
                <w:top w:val="none" w:sz="0" w:space="0" w:color="auto"/>
                <w:left w:val="none" w:sz="0" w:space="0" w:color="auto"/>
                <w:bottom w:val="none" w:sz="0" w:space="0" w:color="auto"/>
                <w:right w:val="none" w:sz="0" w:space="0" w:color="auto"/>
              </w:divBdr>
              <w:divsChild>
                <w:div w:id="1476876199">
                  <w:marLeft w:val="0"/>
                  <w:marRight w:val="0"/>
                  <w:marTop w:val="0"/>
                  <w:marBottom w:val="0"/>
                  <w:divBdr>
                    <w:top w:val="none" w:sz="0" w:space="0" w:color="auto"/>
                    <w:left w:val="none" w:sz="0" w:space="0" w:color="auto"/>
                    <w:bottom w:val="none" w:sz="0" w:space="0" w:color="auto"/>
                    <w:right w:val="none" w:sz="0" w:space="0" w:color="auto"/>
                  </w:divBdr>
                  <w:divsChild>
                    <w:div w:id="1211921028">
                      <w:marLeft w:val="0"/>
                      <w:marRight w:val="0"/>
                      <w:marTop w:val="0"/>
                      <w:marBottom w:val="0"/>
                      <w:divBdr>
                        <w:top w:val="none" w:sz="0" w:space="0" w:color="auto"/>
                        <w:left w:val="none" w:sz="0" w:space="0" w:color="auto"/>
                        <w:bottom w:val="none" w:sz="0" w:space="0" w:color="auto"/>
                        <w:right w:val="none" w:sz="0" w:space="0" w:color="auto"/>
                      </w:divBdr>
                      <w:divsChild>
                        <w:div w:id="104548179">
                          <w:marLeft w:val="0"/>
                          <w:marRight w:val="0"/>
                          <w:marTop w:val="0"/>
                          <w:marBottom w:val="0"/>
                          <w:divBdr>
                            <w:top w:val="none" w:sz="0" w:space="0" w:color="auto"/>
                            <w:left w:val="none" w:sz="0" w:space="0" w:color="auto"/>
                            <w:bottom w:val="none" w:sz="0" w:space="0" w:color="auto"/>
                            <w:right w:val="none" w:sz="0" w:space="0" w:color="auto"/>
                          </w:divBdr>
                          <w:divsChild>
                            <w:div w:id="75316025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85476176">
      <w:bodyDiv w:val="1"/>
      <w:marLeft w:val="0"/>
      <w:marRight w:val="0"/>
      <w:marTop w:val="0"/>
      <w:marBottom w:val="0"/>
      <w:divBdr>
        <w:top w:val="none" w:sz="0" w:space="0" w:color="auto"/>
        <w:left w:val="none" w:sz="0" w:space="0" w:color="auto"/>
        <w:bottom w:val="none" w:sz="0" w:space="0" w:color="auto"/>
        <w:right w:val="none" w:sz="0" w:space="0" w:color="auto"/>
      </w:divBdr>
    </w:div>
    <w:div w:id="1740783584">
      <w:bodyDiv w:val="1"/>
      <w:marLeft w:val="0"/>
      <w:marRight w:val="0"/>
      <w:marTop w:val="0"/>
      <w:marBottom w:val="0"/>
      <w:divBdr>
        <w:top w:val="none" w:sz="0" w:space="0" w:color="auto"/>
        <w:left w:val="none" w:sz="0" w:space="0" w:color="auto"/>
        <w:bottom w:val="none" w:sz="0" w:space="0" w:color="auto"/>
        <w:right w:val="none" w:sz="0" w:space="0" w:color="auto"/>
      </w:divBdr>
      <w:divsChild>
        <w:div w:id="954676851">
          <w:marLeft w:val="0"/>
          <w:marRight w:val="0"/>
          <w:marTop w:val="0"/>
          <w:marBottom w:val="0"/>
          <w:divBdr>
            <w:top w:val="none" w:sz="0" w:space="0" w:color="auto"/>
            <w:left w:val="none" w:sz="0" w:space="0" w:color="auto"/>
            <w:bottom w:val="none" w:sz="0" w:space="0" w:color="auto"/>
            <w:right w:val="none" w:sz="0" w:space="0" w:color="auto"/>
          </w:divBdr>
          <w:divsChild>
            <w:div w:id="421948351">
              <w:marLeft w:val="0"/>
              <w:marRight w:val="0"/>
              <w:marTop w:val="0"/>
              <w:marBottom w:val="0"/>
              <w:divBdr>
                <w:top w:val="none" w:sz="0" w:space="0" w:color="auto"/>
                <w:left w:val="none" w:sz="0" w:space="0" w:color="auto"/>
                <w:bottom w:val="none" w:sz="0" w:space="0" w:color="auto"/>
                <w:right w:val="none" w:sz="0" w:space="0" w:color="auto"/>
              </w:divBdr>
              <w:divsChild>
                <w:div w:id="1429231833">
                  <w:marLeft w:val="0"/>
                  <w:marRight w:val="0"/>
                  <w:marTop w:val="0"/>
                  <w:marBottom w:val="0"/>
                  <w:divBdr>
                    <w:top w:val="none" w:sz="0" w:space="0" w:color="auto"/>
                    <w:left w:val="none" w:sz="0" w:space="0" w:color="auto"/>
                    <w:bottom w:val="none" w:sz="0" w:space="0" w:color="auto"/>
                    <w:right w:val="none" w:sz="0" w:space="0" w:color="auto"/>
                  </w:divBdr>
                  <w:divsChild>
                    <w:div w:id="1151672394">
                      <w:marLeft w:val="0"/>
                      <w:marRight w:val="0"/>
                      <w:marTop w:val="0"/>
                      <w:marBottom w:val="0"/>
                      <w:divBdr>
                        <w:top w:val="none" w:sz="0" w:space="0" w:color="auto"/>
                        <w:left w:val="none" w:sz="0" w:space="0" w:color="auto"/>
                        <w:bottom w:val="none" w:sz="0" w:space="0" w:color="auto"/>
                        <w:right w:val="none" w:sz="0" w:space="0" w:color="auto"/>
                      </w:divBdr>
                      <w:divsChild>
                        <w:div w:id="1438719130">
                          <w:marLeft w:val="0"/>
                          <w:marRight w:val="0"/>
                          <w:marTop w:val="0"/>
                          <w:marBottom w:val="0"/>
                          <w:divBdr>
                            <w:top w:val="none" w:sz="0" w:space="0" w:color="auto"/>
                            <w:left w:val="none" w:sz="0" w:space="0" w:color="auto"/>
                            <w:bottom w:val="none" w:sz="0" w:space="0" w:color="auto"/>
                            <w:right w:val="none" w:sz="0" w:space="0" w:color="auto"/>
                          </w:divBdr>
                          <w:divsChild>
                            <w:div w:id="7824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440731">
      <w:bodyDiv w:val="1"/>
      <w:marLeft w:val="0"/>
      <w:marRight w:val="0"/>
      <w:marTop w:val="0"/>
      <w:marBottom w:val="0"/>
      <w:divBdr>
        <w:top w:val="none" w:sz="0" w:space="0" w:color="auto"/>
        <w:left w:val="none" w:sz="0" w:space="0" w:color="auto"/>
        <w:bottom w:val="none" w:sz="0" w:space="0" w:color="auto"/>
        <w:right w:val="none" w:sz="0" w:space="0" w:color="auto"/>
      </w:divBdr>
    </w:div>
    <w:div w:id="1779638304">
      <w:bodyDiv w:val="1"/>
      <w:marLeft w:val="0"/>
      <w:marRight w:val="0"/>
      <w:marTop w:val="0"/>
      <w:marBottom w:val="0"/>
      <w:divBdr>
        <w:top w:val="none" w:sz="0" w:space="0" w:color="auto"/>
        <w:left w:val="none" w:sz="0" w:space="0" w:color="auto"/>
        <w:bottom w:val="none" w:sz="0" w:space="0" w:color="auto"/>
        <w:right w:val="none" w:sz="0" w:space="0" w:color="auto"/>
      </w:divBdr>
    </w:div>
    <w:div w:id="1818456915">
      <w:bodyDiv w:val="1"/>
      <w:marLeft w:val="0"/>
      <w:marRight w:val="0"/>
      <w:marTop w:val="0"/>
      <w:marBottom w:val="0"/>
      <w:divBdr>
        <w:top w:val="none" w:sz="0" w:space="0" w:color="auto"/>
        <w:left w:val="none" w:sz="0" w:space="0" w:color="auto"/>
        <w:bottom w:val="none" w:sz="0" w:space="0" w:color="auto"/>
        <w:right w:val="none" w:sz="0" w:space="0" w:color="auto"/>
      </w:divBdr>
    </w:div>
    <w:div w:id="1846361383">
      <w:bodyDiv w:val="1"/>
      <w:marLeft w:val="0"/>
      <w:marRight w:val="0"/>
      <w:marTop w:val="0"/>
      <w:marBottom w:val="0"/>
      <w:divBdr>
        <w:top w:val="none" w:sz="0" w:space="0" w:color="auto"/>
        <w:left w:val="none" w:sz="0" w:space="0" w:color="auto"/>
        <w:bottom w:val="none" w:sz="0" w:space="0" w:color="auto"/>
        <w:right w:val="none" w:sz="0" w:space="0" w:color="auto"/>
      </w:divBdr>
      <w:divsChild>
        <w:div w:id="1685203036">
          <w:marLeft w:val="0"/>
          <w:marRight w:val="0"/>
          <w:marTop w:val="0"/>
          <w:marBottom w:val="0"/>
          <w:divBdr>
            <w:top w:val="none" w:sz="0" w:space="0" w:color="auto"/>
            <w:left w:val="none" w:sz="0" w:space="0" w:color="auto"/>
            <w:bottom w:val="none" w:sz="0" w:space="0" w:color="auto"/>
            <w:right w:val="none" w:sz="0" w:space="0" w:color="auto"/>
          </w:divBdr>
          <w:divsChild>
            <w:div w:id="571936978">
              <w:marLeft w:val="0"/>
              <w:marRight w:val="0"/>
              <w:marTop w:val="0"/>
              <w:marBottom w:val="0"/>
              <w:divBdr>
                <w:top w:val="none" w:sz="0" w:space="0" w:color="auto"/>
                <w:left w:val="none" w:sz="0" w:space="0" w:color="auto"/>
                <w:bottom w:val="none" w:sz="0" w:space="0" w:color="auto"/>
                <w:right w:val="none" w:sz="0" w:space="0" w:color="auto"/>
              </w:divBdr>
              <w:divsChild>
                <w:div w:id="377709389">
                  <w:marLeft w:val="0"/>
                  <w:marRight w:val="0"/>
                  <w:marTop w:val="0"/>
                  <w:marBottom w:val="0"/>
                  <w:divBdr>
                    <w:top w:val="none" w:sz="0" w:space="0" w:color="auto"/>
                    <w:left w:val="none" w:sz="0" w:space="0" w:color="auto"/>
                    <w:bottom w:val="none" w:sz="0" w:space="0" w:color="auto"/>
                    <w:right w:val="none" w:sz="0" w:space="0" w:color="auto"/>
                  </w:divBdr>
                  <w:divsChild>
                    <w:div w:id="2117360947">
                      <w:marLeft w:val="0"/>
                      <w:marRight w:val="0"/>
                      <w:marTop w:val="0"/>
                      <w:marBottom w:val="0"/>
                      <w:divBdr>
                        <w:top w:val="none" w:sz="0" w:space="0" w:color="auto"/>
                        <w:left w:val="none" w:sz="0" w:space="0" w:color="auto"/>
                        <w:bottom w:val="none" w:sz="0" w:space="0" w:color="auto"/>
                        <w:right w:val="none" w:sz="0" w:space="0" w:color="auto"/>
                      </w:divBdr>
                      <w:divsChild>
                        <w:div w:id="975838797">
                          <w:marLeft w:val="0"/>
                          <w:marRight w:val="0"/>
                          <w:marTop w:val="0"/>
                          <w:marBottom w:val="0"/>
                          <w:divBdr>
                            <w:top w:val="none" w:sz="0" w:space="0" w:color="auto"/>
                            <w:left w:val="none" w:sz="0" w:space="0" w:color="auto"/>
                            <w:bottom w:val="none" w:sz="0" w:space="0" w:color="auto"/>
                            <w:right w:val="none" w:sz="0" w:space="0" w:color="auto"/>
                          </w:divBdr>
                          <w:divsChild>
                            <w:div w:id="43826018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 w:id="1915551782">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 w:id="20870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CC74D-643F-42E4-B782-5A7DA6C78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45F640-7141-4BE5-8FB6-1062AFA746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EE3D0D-76C0-4F2A-8798-E51E92240ECF}">
  <ds:schemaRefs>
    <ds:schemaRef ds:uri="http://schemas.microsoft.com/sharepoint/v3/contenttype/forms"/>
  </ds:schemaRefs>
</ds:datastoreItem>
</file>

<file path=customXml/itemProps4.xml><?xml version="1.0" encoding="utf-8"?>
<ds:datastoreItem xmlns:ds="http://schemas.openxmlformats.org/officeDocument/2006/customXml" ds:itemID="{4CF3DBF6-96BD-410A-B9B7-4C191F0B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5065</Words>
  <Characters>30390</Characters>
  <Application>Microsoft Office Word</Application>
  <DocSecurity>0</DocSecurity>
  <Lines>253</Lines>
  <Paragraphs>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ECHR</vt:lpstr>
    </vt:vector>
  </TitlesOfParts>
  <Manager/>
  <Company/>
  <LinksUpToDate>false</LinksUpToDate>
  <CharactersWithSpaces>35385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cp:lastPrinted>2019-09-04T09:21:00Z</cp:lastPrinted>
  <dcterms:created xsi:type="dcterms:W3CDTF">2022-08-09T11:15:00Z</dcterms:created>
  <dcterms:modified xsi:type="dcterms:W3CDTF">2022-08-10T09:03:00Z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50514/13</vt:lpwstr>
  </property>
  <property fmtid="{D5CDD505-2E9C-101B-9397-08002B2CF9AE}" pid="4" name="CASEID">
    <vt:lpwstr>901204</vt:lpwstr>
  </property>
  <property fmtid="{D5CDD505-2E9C-101B-9397-08002B2CF9AE}" pid="5" name="ContentTypeId">
    <vt:lpwstr>0x010100558EB02BDB9E204AB350EDD385B68E10</vt:lpwstr>
  </property>
</Properties>
</file>