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E16F" w14:textId="77777777" w:rsidR="009E53C0" w:rsidRPr="0014054A" w:rsidRDefault="009E53C0" w:rsidP="00B97D79">
      <w:pPr>
        <w:tabs>
          <w:tab w:val="left" w:pos="3828"/>
        </w:tabs>
        <w:jc w:val="center"/>
        <w:rPr>
          <w:lang w:val="pl-PL"/>
        </w:rPr>
      </w:pPr>
      <w:bookmarkStart w:id="0" w:name="_GoBack"/>
      <w:r w:rsidRPr="0014054A">
        <w:rPr>
          <w:rStyle w:val="s4f807e54"/>
          <w:rFonts w:ascii="Arial" w:hAnsi="Arial" w:cs="Arial"/>
          <w:sz w:val="18"/>
          <w:szCs w:val="18"/>
          <w:lang w:val="pl-PL"/>
        </w:rPr>
        <w:t>© Copyright for the Polish translation by Naczelny Sąd Administracyjny, Warszawa 202</w:t>
      </w:r>
      <w:r>
        <w:rPr>
          <w:rStyle w:val="s4f807e54"/>
          <w:rFonts w:ascii="Arial" w:hAnsi="Arial" w:cs="Arial"/>
          <w:sz w:val="18"/>
          <w:szCs w:val="18"/>
          <w:lang w:val="pl-PL"/>
        </w:rPr>
        <w:t>1</w:t>
      </w:r>
    </w:p>
    <w:p w14:paraId="520A13C6" w14:textId="77777777" w:rsidR="009E53C0" w:rsidRPr="00977945" w:rsidRDefault="009E53C0" w:rsidP="000D30FE">
      <w:pPr>
        <w:jc w:val="center"/>
        <w:rPr>
          <w:lang w:val="pl-PL"/>
        </w:rPr>
      </w:pPr>
    </w:p>
    <w:p w14:paraId="67A57276" w14:textId="77777777" w:rsidR="009E53C0" w:rsidRPr="00977945" w:rsidRDefault="00165618" w:rsidP="000D30FE">
      <w:pPr>
        <w:jc w:val="center"/>
        <w:rPr>
          <w:lang w:val="pl-PL"/>
        </w:rPr>
      </w:pPr>
      <w:r>
        <w:rPr>
          <w:lang w:val="pl-PL"/>
        </w:rPr>
        <w:t>EUROPEJSKI TRYBUNAŁ PRAW CZŁOWIEKA</w:t>
      </w:r>
    </w:p>
    <w:p w14:paraId="51250969" w14:textId="77777777" w:rsidR="009E53C0" w:rsidRPr="00977945" w:rsidRDefault="009E53C0" w:rsidP="000D30FE">
      <w:pPr>
        <w:jc w:val="center"/>
        <w:rPr>
          <w:lang w:val="pl-PL"/>
        </w:rPr>
      </w:pPr>
    </w:p>
    <w:p w14:paraId="14E6D43E" w14:textId="77777777" w:rsidR="009E53C0" w:rsidRPr="00977945" w:rsidRDefault="009E53C0" w:rsidP="000D30FE">
      <w:pPr>
        <w:tabs>
          <w:tab w:val="left" w:pos="5529"/>
        </w:tabs>
        <w:jc w:val="center"/>
        <w:rPr>
          <w:lang w:val="pl-PL"/>
        </w:rPr>
      </w:pPr>
      <w:r w:rsidRPr="00977945">
        <w:rPr>
          <w:lang w:val="pl-PL"/>
        </w:rPr>
        <w:t>WIELKA IZBA</w:t>
      </w:r>
    </w:p>
    <w:p w14:paraId="766912DB" w14:textId="77777777" w:rsidR="009E53C0" w:rsidRPr="00977945" w:rsidRDefault="009E53C0" w:rsidP="000D30FE">
      <w:pPr>
        <w:jc w:val="center"/>
        <w:rPr>
          <w:lang w:val="pl-PL"/>
        </w:rPr>
      </w:pPr>
    </w:p>
    <w:p w14:paraId="38054E93" w14:textId="77777777" w:rsidR="009E53C0" w:rsidRPr="00977945" w:rsidRDefault="009E53C0" w:rsidP="000D30FE">
      <w:pPr>
        <w:jc w:val="center"/>
        <w:rPr>
          <w:lang w:val="pl-PL"/>
        </w:rPr>
      </w:pPr>
    </w:p>
    <w:p w14:paraId="3EA43059" w14:textId="77777777" w:rsidR="009E53C0" w:rsidRPr="00977945" w:rsidRDefault="009E53C0" w:rsidP="000D30FE">
      <w:pPr>
        <w:jc w:val="center"/>
        <w:rPr>
          <w:lang w:val="pl-PL"/>
        </w:rPr>
      </w:pPr>
    </w:p>
    <w:p w14:paraId="3BDFA318" w14:textId="77777777" w:rsidR="009E53C0" w:rsidRPr="00977945" w:rsidRDefault="009E53C0" w:rsidP="000D30FE">
      <w:pPr>
        <w:jc w:val="center"/>
        <w:rPr>
          <w:lang w:val="pl-PL"/>
        </w:rPr>
      </w:pPr>
    </w:p>
    <w:p w14:paraId="0D80A49E" w14:textId="77777777" w:rsidR="009E53C0" w:rsidRPr="00977945" w:rsidRDefault="009E53C0" w:rsidP="000D30FE">
      <w:pPr>
        <w:jc w:val="center"/>
        <w:rPr>
          <w:lang w:val="pl-PL"/>
        </w:rPr>
      </w:pPr>
    </w:p>
    <w:p w14:paraId="1B37ED29" w14:textId="77777777" w:rsidR="009E53C0" w:rsidRPr="00977945" w:rsidRDefault="009E53C0" w:rsidP="000D30FE">
      <w:pPr>
        <w:jc w:val="center"/>
        <w:rPr>
          <w:lang w:val="pl-PL"/>
        </w:rPr>
      </w:pPr>
    </w:p>
    <w:p w14:paraId="4B91F45E" w14:textId="77777777" w:rsidR="009E53C0" w:rsidRPr="00977945" w:rsidRDefault="009E53C0" w:rsidP="000D30FE">
      <w:pPr>
        <w:jc w:val="center"/>
        <w:rPr>
          <w:b/>
          <w:bCs/>
          <w:lang w:val="pl-PL"/>
        </w:rPr>
      </w:pPr>
      <w:bookmarkStart w:id="1" w:name="To"/>
      <w:r w:rsidRPr="00977945">
        <w:rPr>
          <w:b/>
          <w:bCs/>
          <w:lang w:val="pl-PL"/>
        </w:rPr>
        <w:t xml:space="preserve">SPRAWA </w:t>
      </w:r>
      <w:bookmarkEnd w:id="1"/>
      <w:r w:rsidRPr="00977945">
        <w:rPr>
          <w:b/>
          <w:bCs/>
          <w:lang w:val="pl-PL"/>
        </w:rPr>
        <w:t xml:space="preserve">MIHALACHE </w:t>
      </w:r>
      <w:r>
        <w:rPr>
          <w:b/>
          <w:bCs/>
          <w:lang w:val="pl-PL"/>
        </w:rPr>
        <w:t>PRZECIWKO</w:t>
      </w:r>
      <w:r w:rsidRPr="00977945">
        <w:rPr>
          <w:b/>
          <w:bCs/>
          <w:lang w:val="pl-PL"/>
        </w:rPr>
        <w:t xml:space="preserve"> RUMUNII</w:t>
      </w:r>
    </w:p>
    <w:p w14:paraId="39589603" w14:textId="77777777" w:rsidR="009E53C0" w:rsidRPr="00977945" w:rsidRDefault="009E53C0" w:rsidP="000D30FE">
      <w:pPr>
        <w:jc w:val="center"/>
        <w:rPr>
          <w:lang w:val="pl-PL"/>
        </w:rPr>
      </w:pPr>
    </w:p>
    <w:p w14:paraId="167FBF18" w14:textId="77777777" w:rsidR="009E53C0" w:rsidRPr="00977945" w:rsidRDefault="009E53C0" w:rsidP="000D30FE">
      <w:pPr>
        <w:jc w:val="center"/>
        <w:rPr>
          <w:i/>
          <w:iCs/>
          <w:lang w:val="pl-PL"/>
        </w:rPr>
      </w:pPr>
      <w:r w:rsidRPr="00977945">
        <w:rPr>
          <w:i/>
          <w:iCs/>
          <w:lang w:val="pl-PL"/>
        </w:rPr>
        <w:t>(Skarga nr 54012/10)</w:t>
      </w:r>
    </w:p>
    <w:p w14:paraId="3DD2B291" w14:textId="77777777" w:rsidR="009E53C0" w:rsidRPr="00977945" w:rsidRDefault="009E53C0" w:rsidP="000D30FE">
      <w:pPr>
        <w:jc w:val="center"/>
        <w:rPr>
          <w:lang w:val="pl-PL"/>
        </w:rPr>
      </w:pPr>
    </w:p>
    <w:p w14:paraId="57193D04" w14:textId="77777777" w:rsidR="009E53C0" w:rsidRPr="00977945" w:rsidRDefault="009E53C0" w:rsidP="000D30FE">
      <w:pPr>
        <w:jc w:val="center"/>
        <w:rPr>
          <w:lang w:val="pl-PL"/>
        </w:rPr>
      </w:pPr>
    </w:p>
    <w:p w14:paraId="7E46A235" w14:textId="77777777" w:rsidR="009E53C0" w:rsidRPr="00977945" w:rsidRDefault="009E53C0" w:rsidP="000D30FE">
      <w:pPr>
        <w:jc w:val="center"/>
        <w:rPr>
          <w:lang w:val="pl-PL"/>
        </w:rPr>
      </w:pPr>
    </w:p>
    <w:p w14:paraId="76C9D0B3" w14:textId="77777777" w:rsidR="009E53C0" w:rsidRPr="00977945" w:rsidRDefault="009E53C0" w:rsidP="000D30FE">
      <w:pPr>
        <w:jc w:val="center"/>
        <w:rPr>
          <w:lang w:val="pl-PL"/>
        </w:rPr>
      </w:pPr>
    </w:p>
    <w:p w14:paraId="37585033" w14:textId="77777777" w:rsidR="009E53C0" w:rsidRPr="00977945" w:rsidRDefault="009E53C0" w:rsidP="000D30FE">
      <w:pPr>
        <w:jc w:val="center"/>
        <w:rPr>
          <w:lang w:val="pl-PL"/>
        </w:rPr>
      </w:pPr>
    </w:p>
    <w:p w14:paraId="52098107" w14:textId="77777777" w:rsidR="009E53C0" w:rsidRPr="00977945" w:rsidRDefault="009E53C0" w:rsidP="000D30FE">
      <w:pPr>
        <w:jc w:val="center"/>
        <w:rPr>
          <w:lang w:val="pl-PL"/>
        </w:rPr>
      </w:pPr>
    </w:p>
    <w:p w14:paraId="51A7D4D7" w14:textId="77777777" w:rsidR="009E53C0" w:rsidRPr="00977945" w:rsidRDefault="009E53C0" w:rsidP="000D30FE">
      <w:pPr>
        <w:jc w:val="center"/>
        <w:rPr>
          <w:lang w:val="pl-PL"/>
        </w:rPr>
      </w:pPr>
    </w:p>
    <w:p w14:paraId="2E9D1A24" w14:textId="77777777" w:rsidR="009E53C0" w:rsidRPr="00977945" w:rsidRDefault="009E53C0" w:rsidP="000D30FE">
      <w:pPr>
        <w:jc w:val="center"/>
        <w:rPr>
          <w:lang w:val="pl-PL"/>
        </w:rPr>
      </w:pPr>
    </w:p>
    <w:p w14:paraId="5C00AF58" w14:textId="77777777" w:rsidR="009E53C0" w:rsidRPr="00977945" w:rsidRDefault="009E53C0" w:rsidP="000D30FE">
      <w:pPr>
        <w:jc w:val="center"/>
        <w:rPr>
          <w:lang w:val="pl-PL"/>
        </w:rPr>
      </w:pPr>
    </w:p>
    <w:p w14:paraId="21539BC3" w14:textId="77777777" w:rsidR="009E53C0" w:rsidRPr="00977945" w:rsidRDefault="009E53C0" w:rsidP="000D30FE">
      <w:pPr>
        <w:jc w:val="center"/>
        <w:rPr>
          <w:lang w:val="pl-PL"/>
        </w:rPr>
      </w:pPr>
    </w:p>
    <w:p w14:paraId="1F8B44AF" w14:textId="77777777" w:rsidR="009E53C0" w:rsidRDefault="009E53C0" w:rsidP="000D30FE">
      <w:pPr>
        <w:jc w:val="center"/>
        <w:rPr>
          <w:lang w:val="pl-PL"/>
        </w:rPr>
      </w:pPr>
      <w:r w:rsidRPr="00977945">
        <w:rPr>
          <w:lang w:val="pl-PL"/>
        </w:rPr>
        <w:t>WYROK</w:t>
      </w:r>
    </w:p>
    <w:p w14:paraId="3CD6B3EF" w14:textId="77777777" w:rsidR="00165618" w:rsidRPr="00977945" w:rsidRDefault="00165618" w:rsidP="000D30FE">
      <w:pPr>
        <w:jc w:val="center"/>
        <w:rPr>
          <w:lang w:val="pl-PL"/>
        </w:rPr>
      </w:pPr>
      <w:r>
        <w:rPr>
          <w:lang w:val="pl-PL"/>
        </w:rPr>
        <w:t>[wyciąg]</w:t>
      </w:r>
    </w:p>
    <w:p w14:paraId="13C1A0CF" w14:textId="77777777" w:rsidR="009E53C0" w:rsidRPr="00977945" w:rsidRDefault="009E53C0" w:rsidP="000D30FE">
      <w:pPr>
        <w:jc w:val="center"/>
        <w:rPr>
          <w:i/>
          <w:iCs/>
          <w:lang w:val="pl-PL"/>
        </w:rPr>
      </w:pPr>
    </w:p>
    <w:p w14:paraId="0642D588" w14:textId="77777777" w:rsidR="009E53C0" w:rsidRPr="00977945" w:rsidRDefault="009E53C0" w:rsidP="000D30FE">
      <w:pPr>
        <w:jc w:val="center"/>
        <w:rPr>
          <w:lang w:val="pl-PL"/>
        </w:rPr>
      </w:pPr>
    </w:p>
    <w:p w14:paraId="4D067BF3" w14:textId="77777777" w:rsidR="009E53C0" w:rsidRPr="00977945" w:rsidRDefault="009E53C0" w:rsidP="000D30FE">
      <w:pPr>
        <w:jc w:val="center"/>
        <w:rPr>
          <w:lang w:val="pl-PL"/>
        </w:rPr>
      </w:pPr>
      <w:r w:rsidRPr="00977945">
        <w:rPr>
          <w:lang w:val="pl-PL"/>
        </w:rPr>
        <w:t>STRASBURG</w:t>
      </w:r>
    </w:p>
    <w:p w14:paraId="0CCE064D" w14:textId="77777777" w:rsidR="009E53C0" w:rsidRPr="00977945" w:rsidRDefault="009E53C0" w:rsidP="000D30FE">
      <w:pPr>
        <w:jc w:val="center"/>
        <w:rPr>
          <w:lang w:val="pl-PL"/>
        </w:rPr>
      </w:pPr>
    </w:p>
    <w:p w14:paraId="56D47676" w14:textId="77777777" w:rsidR="009E53C0" w:rsidRPr="00977945" w:rsidRDefault="009E53C0" w:rsidP="000D30FE">
      <w:pPr>
        <w:jc w:val="center"/>
        <w:rPr>
          <w:lang w:val="pl-PL"/>
        </w:rPr>
      </w:pPr>
      <w:r w:rsidRPr="00977945">
        <w:rPr>
          <w:lang w:val="pl-PL"/>
        </w:rPr>
        <w:t>8 lipca 2019 r.</w:t>
      </w:r>
    </w:p>
    <w:p w14:paraId="2FD17971" w14:textId="77777777" w:rsidR="009E53C0" w:rsidRPr="00977945" w:rsidRDefault="009E53C0" w:rsidP="000D30FE">
      <w:pPr>
        <w:jc w:val="center"/>
        <w:rPr>
          <w:lang w:val="pl-PL"/>
        </w:rPr>
      </w:pPr>
    </w:p>
    <w:p w14:paraId="122C9F19" w14:textId="77777777" w:rsidR="009E53C0" w:rsidRPr="00977945" w:rsidRDefault="009E53C0" w:rsidP="000D30FE">
      <w:pPr>
        <w:jc w:val="center"/>
        <w:rPr>
          <w:lang w:val="pl-PL"/>
        </w:rPr>
      </w:pPr>
    </w:p>
    <w:p w14:paraId="54E03AA7" w14:textId="77777777" w:rsidR="009E53C0" w:rsidRPr="00977945" w:rsidRDefault="009E53C0" w:rsidP="000D30FE">
      <w:pPr>
        <w:jc w:val="center"/>
        <w:rPr>
          <w:lang w:val="pl-PL"/>
        </w:rPr>
      </w:pPr>
    </w:p>
    <w:p w14:paraId="3936F7D4" w14:textId="77777777" w:rsidR="009E53C0" w:rsidRPr="00977945" w:rsidRDefault="009E53C0" w:rsidP="000D30FE">
      <w:pPr>
        <w:jc w:val="center"/>
        <w:rPr>
          <w:lang w:val="pl-PL"/>
        </w:rPr>
      </w:pPr>
    </w:p>
    <w:p w14:paraId="0CCE4DB8" w14:textId="77777777" w:rsidR="009E53C0" w:rsidRPr="00977945" w:rsidRDefault="009E53C0" w:rsidP="000D30FE">
      <w:pPr>
        <w:jc w:val="center"/>
        <w:rPr>
          <w:lang w:val="pl-PL"/>
        </w:rPr>
      </w:pPr>
    </w:p>
    <w:p w14:paraId="61884D2E" w14:textId="77777777" w:rsidR="009E53C0" w:rsidRPr="00977945" w:rsidRDefault="009E53C0" w:rsidP="000D30FE">
      <w:pPr>
        <w:rPr>
          <w:i/>
          <w:iCs/>
          <w:sz w:val="22"/>
          <w:szCs w:val="22"/>
          <w:lang w:val="pl-PL"/>
        </w:rPr>
      </w:pPr>
      <w:r w:rsidRPr="00977945">
        <w:rPr>
          <w:i/>
          <w:iCs/>
          <w:sz w:val="22"/>
          <w:szCs w:val="22"/>
          <w:lang w:val="pl-PL"/>
        </w:rPr>
        <w:t>Wyrok jest ostateczny, ale może podlegać korekcie wydawniczej.</w:t>
      </w:r>
    </w:p>
    <w:p w14:paraId="4505C689" w14:textId="77777777" w:rsidR="009E53C0" w:rsidRPr="00977945" w:rsidRDefault="009E53C0" w:rsidP="000D30FE">
      <w:pPr>
        <w:rPr>
          <w:sz w:val="22"/>
          <w:szCs w:val="22"/>
          <w:lang w:val="pl-PL"/>
        </w:rPr>
      </w:pPr>
    </w:p>
    <w:p w14:paraId="099E5408" w14:textId="77777777" w:rsidR="009E53C0" w:rsidRPr="00977945" w:rsidRDefault="009E53C0" w:rsidP="000D30FE">
      <w:pPr>
        <w:rPr>
          <w:sz w:val="22"/>
          <w:szCs w:val="22"/>
          <w:lang w:val="pl-PL"/>
        </w:rPr>
        <w:sectPr w:rsidR="009E53C0" w:rsidRPr="00977945" w:rsidSect="00921CFE">
          <w:headerReference w:type="even" r:id="rId7"/>
          <w:headerReference w:type="default" r:id="rId8"/>
          <w:footerReference w:type="even" r:id="rId9"/>
          <w:footerReference w:type="default" r:id="rId10"/>
          <w:headerReference w:type="first" r:id="rId11"/>
          <w:footerReference w:type="first" r:id="rId12"/>
          <w:pgSz w:w="11906" w:h="16838" w:code="9"/>
          <w:pgMar w:top="2274" w:right="2274" w:bottom="2274" w:left="2274" w:header="1701" w:footer="708" w:gutter="0"/>
          <w:pgNumType w:start="1"/>
          <w:cols w:space="708"/>
          <w:noEndnote/>
        </w:sectPr>
      </w:pPr>
    </w:p>
    <w:p w14:paraId="1A0A7DB7" w14:textId="77777777" w:rsidR="009E53C0" w:rsidRPr="00977945" w:rsidRDefault="009E53C0" w:rsidP="000D30FE">
      <w:pPr>
        <w:pStyle w:val="JuCase"/>
        <w:rPr>
          <w:lang w:val="pl-PL"/>
        </w:rPr>
      </w:pPr>
      <w:r w:rsidRPr="00977945">
        <w:rPr>
          <w:lang w:val="pl-PL"/>
        </w:rPr>
        <w:lastRenderedPageBreak/>
        <w:t>W sprawie Mihalache przeciwko Rumunii,</w:t>
      </w:r>
    </w:p>
    <w:p w14:paraId="1F85A1E9" w14:textId="6902D3A9" w:rsidR="009E53C0" w:rsidRPr="00977945" w:rsidRDefault="009E53C0" w:rsidP="000D30FE">
      <w:pPr>
        <w:pStyle w:val="ECHRPara"/>
        <w:rPr>
          <w:lang w:val="pl-PL"/>
        </w:rPr>
      </w:pPr>
      <w:r w:rsidRPr="00977945">
        <w:rPr>
          <w:lang w:val="pl-PL"/>
        </w:rPr>
        <w:t>Europejski Trybunał Praw Człowieka, zasiadając jako Wielka Izba w</w:t>
      </w:r>
      <w:r w:rsidR="00A56092">
        <w:rPr>
          <w:lang w:val="pl-PL"/>
        </w:rPr>
        <w:t> </w:t>
      </w:r>
      <w:r w:rsidRPr="00977945">
        <w:rPr>
          <w:lang w:val="pl-PL"/>
        </w:rPr>
        <w:t>składzie:</w:t>
      </w:r>
    </w:p>
    <w:p w14:paraId="64A1259C" w14:textId="77777777" w:rsidR="009E53C0" w:rsidRPr="00977945" w:rsidRDefault="009E53C0" w:rsidP="000D30FE">
      <w:pPr>
        <w:pStyle w:val="ECHRDecisionBody"/>
        <w:rPr>
          <w:lang w:val="pl-PL"/>
        </w:rPr>
      </w:pPr>
      <w:r w:rsidRPr="00977945">
        <w:rPr>
          <w:lang w:val="pl-PL"/>
        </w:rPr>
        <w:tab/>
        <w:t>Guido Raimondi,</w:t>
      </w:r>
      <w:r w:rsidRPr="00977945">
        <w:rPr>
          <w:i/>
          <w:iCs/>
          <w:lang w:val="pl-PL"/>
        </w:rPr>
        <w:t xml:space="preserve"> Przewodniczący,</w:t>
      </w:r>
      <w:r w:rsidRPr="00977945">
        <w:rPr>
          <w:lang w:val="pl-PL"/>
        </w:rPr>
        <w:br/>
      </w:r>
      <w:r w:rsidRPr="00977945">
        <w:rPr>
          <w:lang w:val="pl-PL"/>
        </w:rPr>
        <w:tab/>
        <w:t>Angelika Nußberger,</w:t>
      </w:r>
      <w:r w:rsidRPr="00977945">
        <w:rPr>
          <w:lang w:val="pl-PL"/>
        </w:rPr>
        <w:br/>
      </w:r>
      <w:r w:rsidRPr="00977945">
        <w:rPr>
          <w:lang w:val="pl-PL"/>
        </w:rPr>
        <w:tab/>
        <w:t>Linos-Alexandre Sicilianos,</w:t>
      </w:r>
      <w:r w:rsidRPr="00977945">
        <w:rPr>
          <w:lang w:val="pl-PL"/>
        </w:rPr>
        <w:br/>
      </w:r>
      <w:r w:rsidRPr="00977945">
        <w:rPr>
          <w:lang w:val="pl-PL"/>
        </w:rPr>
        <w:tab/>
        <w:t>Robert Spano,</w:t>
      </w:r>
      <w:r w:rsidRPr="00977945">
        <w:rPr>
          <w:lang w:val="pl-PL"/>
        </w:rPr>
        <w:br/>
      </w:r>
      <w:r w:rsidRPr="00977945">
        <w:rPr>
          <w:lang w:val="pl-PL"/>
        </w:rPr>
        <w:tab/>
        <w:t>Vincent A. De Gaetano,</w:t>
      </w:r>
      <w:r w:rsidRPr="00977945">
        <w:rPr>
          <w:lang w:val="pl-PL"/>
        </w:rPr>
        <w:br/>
      </w:r>
      <w:r w:rsidRPr="00977945">
        <w:rPr>
          <w:lang w:val="pl-PL"/>
        </w:rPr>
        <w:tab/>
        <w:t>Ganna Yudkivska,</w:t>
      </w:r>
      <w:r w:rsidRPr="00977945">
        <w:rPr>
          <w:lang w:val="pl-PL"/>
        </w:rPr>
        <w:br/>
      </w:r>
      <w:r w:rsidRPr="00977945">
        <w:rPr>
          <w:lang w:val="pl-PL"/>
        </w:rPr>
        <w:tab/>
        <w:t>Paulo Pinto de Albuquerque,</w:t>
      </w:r>
      <w:r w:rsidRPr="00977945">
        <w:rPr>
          <w:lang w:val="pl-PL"/>
        </w:rPr>
        <w:br/>
      </w:r>
      <w:r w:rsidRPr="00977945">
        <w:rPr>
          <w:lang w:val="pl-PL"/>
        </w:rPr>
        <w:tab/>
        <w:t>Helen Keller,</w:t>
      </w:r>
      <w:r w:rsidRPr="00977945">
        <w:rPr>
          <w:lang w:val="pl-PL"/>
        </w:rPr>
        <w:br/>
      </w:r>
      <w:r w:rsidRPr="00977945">
        <w:rPr>
          <w:lang w:val="pl-PL"/>
        </w:rPr>
        <w:tab/>
        <w:t>Egidijus Kūris,</w:t>
      </w:r>
      <w:r w:rsidRPr="00977945">
        <w:rPr>
          <w:lang w:val="pl-PL"/>
        </w:rPr>
        <w:br/>
      </w:r>
      <w:r w:rsidRPr="00977945">
        <w:rPr>
          <w:lang w:val="pl-PL"/>
        </w:rPr>
        <w:tab/>
        <w:t>Iulia Antoanella Motoc,</w:t>
      </w:r>
      <w:r w:rsidRPr="00977945">
        <w:rPr>
          <w:lang w:val="pl-PL"/>
        </w:rPr>
        <w:br/>
      </w:r>
      <w:r w:rsidRPr="00977945">
        <w:rPr>
          <w:lang w:val="pl-PL"/>
        </w:rPr>
        <w:tab/>
        <w:t>Branko Lubarda,</w:t>
      </w:r>
      <w:r w:rsidRPr="00977945">
        <w:rPr>
          <w:lang w:val="pl-PL"/>
        </w:rPr>
        <w:br/>
      </w:r>
      <w:r w:rsidRPr="00977945">
        <w:rPr>
          <w:lang w:val="pl-PL"/>
        </w:rPr>
        <w:tab/>
        <w:t>Stéphanie Mourou-Vikström,</w:t>
      </w:r>
      <w:r w:rsidRPr="00977945">
        <w:rPr>
          <w:lang w:val="pl-PL"/>
        </w:rPr>
        <w:br/>
      </w:r>
      <w:r w:rsidRPr="00977945">
        <w:rPr>
          <w:lang w:val="pl-PL"/>
        </w:rPr>
        <w:tab/>
        <w:t>Georges Ravarani,</w:t>
      </w:r>
      <w:r w:rsidRPr="00977945">
        <w:rPr>
          <w:lang w:val="pl-PL"/>
        </w:rPr>
        <w:br/>
      </w:r>
      <w:r w:rsidRPr="00977945">
        <w:rPr>
          <w:lang w:val="pl-PL"/>
        </w:rPr>
        <w:tab/>
        <w:t>Georgios A. Serghides,</w:t>
      </w:r>
      <w:r w:rsidRPr="00977945">
        <w:rPr>
          <w:lang w:val="pl-PL"/>
        </w:rPr>
        <w:br/>
      </w:r>
      <w:r w:rsidRPr="00977945">
        <w:rPr>
          <w:lang w:val="pl-PL"/>
        </w:rPr>
        <w:tab/>
        <w:t>Marko Bošnjak,</w:t>
      </w:r>
      <w:r w:rsidRPr="00977945">
        <w:rPr>
          <w:lang w:val="pl-PL"/>
        </w:rPr>
        <w:br/>
      </w:r>
      <w:r w:rsidRPr="00977945">
        <w:rPr>
          <w:lang w:val="pl-PL"/>
        </w:rPr>
        <w:tab/>
        <w:t>Péter Paczolay,</w:t>
      </w:r>
      <w:r w:rsidRPr="00977945">
        <w:rPr>
          <w:lang w:val="pl-PL"/>
        </w:rPr>
        <w:br/>
      </w:r>
      <w:r w:rsidRPr="00977945">
        <w:rPr>
          <w:lang w:val="pl-PL"/>
        </w:rPr>
        <w:tab/>
        <w:t>María Elósegui,</w:t>
      </w:r>
      <w:r w:rsidRPr="00977945">
        <w:rPr>
          <w:i/>
          <w:iCs/>
          <w:lang w:val="pl-PL"/>
        </w:rPr>
        <w:t xml:space="preserve"> sędziowie,</w:t>
      </w:r>
      <w:r w:rsidRPr="00977945">
        <w:rPr>
          <w:lang w:val="pl-PL"/>
        </w:rPr>
        <w:br/>
        <w:t xml:space="preserve">i Søren Prebensen, </w:t>
      </w:r>
      <w:r w:rsidRPr="00977945">
        <w:rPr>
          <w:i/>
          <w:iCs/>
          <w:lang w:val="pl-PL"/>
        </w:rPr>
        <w:t>Zastępca Kanclerza Wielkiej Izby</w:t>
      </w:r>
      <w:r w:rsidRPr="00977945">
        <w:rPr>
          <w:lang w:val="pl-PL"/>
        </w:rPr>
        <w:t>,</w:t>
      </w:r>
    </w:p>
    <w:p w14:paraId="152CB3D5" w14:textId="2C7EF068" w:rsidR="009E53C0" w:rsidRPr="00977945" w:rsidRDefault="00FD342B" w:rsidP="000D30FE">
      <w:pPr>
        <w:pStyle w:val="ECHRPara"/>
        <w:rPr>
          <w:lang w:val="pl-PL"/>
        </w:rPr>
      </w:pPr>
      <w:r>
        <w:rPr>
          <w:lang w:val="pl-PL"/>
        </w:rPr>
        <w:t xml:space="preserve">Po obradach </w:t>
      </w:r>
      <w:r w:rsidR="009E53C0" w:rsidRPr="00977945">
        <w:rPr>
          <w:lang w:val="pl-PL"/>
        </w:rPr>
        <w:t>na posiedzeniu niejawnym w dniach 3</w:t>
      </w:r>
      <w:r w:rsidR="000F46C5">
        <w:rPr>
          <w:lang w:val="pl-PL"/>
        </w:rPr>
        <w:t xml:space="preserve"> </w:t>
      </w:r>
      <w:r w:rsidR="009E53C0" w:rsidRPr="00977945">
        <w:rPr>
          <w:lang w:val="pl-PL"/>
        </w:rPr>
        <w:t>października 2018 r. i</w:t>
      </w:r>
      <w:r w:rsidR="00A56092">
        <w:rPr>
          <w:lang w:val="pl-PL"/>
        </w:rPr>
        <w:t> </w:t>
      </w:r>
      <w:r w:rsidR="009E53C0" w:rsidRPr="00977945">
        <w:rPr>
          <w:lang w:val="pl-PL"/>
        </w:rPr>
        <w:t>29 kwietnia 2019 r.,</w:t>
      </w:r>
    </w:p>
    <w:p w14:paraId="6EFBA3E7" w14:textId="77777777" w:rsidR="009E53C0" w:rsidRPr="00977945" w:rsidRDefault="009E53C0" w:rsidP="000D30FE">
      <w:pPr>
        <w:pStyle w:val="ECHRPara"/>
        <w:rPr>
          <w:lang w:val="pl-PL"/>
        </w:rPr>
      </w:pPr>
      <w:r w:rsidRPr="00977945">
        <w:rPr>
          <w:lang w:val="pl-PL"/>
        </w:rPr>
        <w:t>wydaje następujący wyrok, który został przyjęty w tym dniu:</w:t>
      </w:r>
    </w:p>
    <w:p w14:paraId="46CBD798" w14:textId="77777777" w:rsidR="009E53C0" w:rsidRPr="00977945" w:rsidRDefault="009E53C0" w:rsidP="000D30FE">
      <w:pPr>
        <w:pStyle w:val="ECHRTitle1"/>
        <w:rPr>
          <w:lang w:val="pl-PL"/>
        </w:rPr>
      </w:pPr>
      <w:r w:rsidRPr="00977945">
        <w:rPr>
          <w:lang w:val="pl-PL"/>
        </w:rPr>
        <w:t>POSTĘPOWANIE</w:t>
      </w:r>
    </w:p>
    <w:p w14:paraId="151AB3AB" w14:textId="627945A6" w:rsidR="009E53C0" w:rsidRPr="00977945" w:rsidRDefault="009E53C0" w:rsidP="000D30FE">
      <w:pPr>
        <w:pStyle w:val="ECHRPara"/>
        <w:rPr>
          <w:lang w:val="pl-PL"/>
        </w:rPr>
      </w:pPr>
      <w:r w:rsidRPr="00977945">
        <w:rPr>
          <w:lang w:val="pl-PL"/>
        </w:rPr>
        <w:t>1.</w:t>
      </w:r>
      <w:r>
        <w:rPr>
          <w:lang w:val="pl-PL"/>
        </w:rPr>
        <w:t xml:space="preserve"> </w:t>
      </w:r>
      <w:r w:rsidRPr="00977945">
        <w:rPr>
          <w:lang w:val="pl-PL"/>
        </w:rPr>
        <w:t>Sprawa wywodzi się ze skargi (nr</w:t>
      </w:r>
      <w:r w:rsidR="000F46C5">
        <w:rPr>
          <w:lang w:val="pl-PL"/>
        </w:rPr>
        <w:t xml:space="preserve"> </w:t>
      </w:r>
      <w:r w:rsidRPr="00977945">
        <w:rPr>
          <w:lang w:val="pl-PL"/>
        </w:rPr>
        <w:t xml:space="preserve">54012/10) przeciwko Rumunii, </w:t>
      </w:r>
      <w:r>
        <w:rPr>
          <w:lang w:val="pl-PL"/>
        </w:rPr>
        <w:t>którą wniósł</w:t>
      </w:r>
      <w:r w:rsidRPr="00977945">
        <w:rPr>
          <w:lang w:val="pl-PL"/>
        </w:rPr>
        <w:t xml:space="preserve"> do Trybunału na podstawie art.</w:t>
      </w:r>
      <w:r w:rsidR="000F46C5">
        <w:rPr>
          <w:lang w:val="pl-PL"/>
        </w:rPr>
        <w:t xml:space="preserve"> </w:t>
      </w:r>
      <w:r w:rsidRPr="00977945">
        <w:rPr>
          <w:lang w:val="pl-PL"/>
        </w:rPr>
        <w:t xml:space="preserve">34 Konwencji o ochronie praw człowieka i podstawowych wolności („Konwencji”) obywatel rumuński – </w:t>
      </w:r>
      <w:r w:rsidR="00FD342B">
        <w:rPr>
          <w:lang w:val="pl-PL"/>
        </w:rPr>
        <w:t xml:space="preserve">pan </w:t>
      </w:r>
      <w:r w:rsidRPr="00977945">
        <w:rPr>
          <w:lang w:val="pl-PL"/>
        </w:rPr>
        <w:t>Aurelian-Erik Mihalache („skarżący”), w dniu 10 września 2010 r.</w:t>
      </w:r>
    </w:p>
    <w:p w14:paraId="3C6B6B9B" w14:textId="1CD9A2D8" w:rsidR="009E53C0" w:rsidRPr="00977945" w:rsidRDefault="009E53C0" w:rsidP="000D30FE">
      <w:pPr>
        <w:pStyle w:val="ECHRPara"/>
        <w:rPr>
          <w:lang w:val="pl-PL"/>
        </w:rPr>
      </w:pPr>
      <w:r w:rsidRPr="00977945">
        <w:rPr>
          <w:lang w:val="pl-PL"/>
        </w:rPr>
        <w:t>2.</w:t>
      </w:r>
      <w:r>
        <w:rPr>
          <w:lang w:val="pl-PL"/>
        </w:rPr>
        <w:t xml:space="preserve"> </w:t>
      </w:r>
      <w:r w:rsidRPr="00977945">
        <w:rPr>
          <w:lang w:val="pl-PL"/>
        </w:rPr>
        <w:t>Skarżący, któremu przyznano</w:t>
      </w:r>
      <w:r w:rsidR="00FD342B">
        <w:rPr>
          <w:lang w:val="pl-PL"/>
        </w:rPr>
        <w:t xml:space="preserve"> bezpłatną</w:t>
      </w:r>
      <w:r w:rsidRPr="00977945">
        <w:rPr>
          <w:lang w:val="pl-PL"/>
        </w:rPr>
        <w:t xml:space="preserve"> pomoc prawną, był reprezentowany przez pana M. Bratu, prawnika praktykującego w</w:t>
      </w:r>
      <w:r w:rsidR="00A56092">
        <w:rPr>
          <w:lang w:val="pl-PL"/>
        </w:rPr>
        <w:t> </w:t>
      </w:r>
      <w:r w:rsidRPr="00977945">
        <w:rPr>
          <w:lang w:val="pl-PL"/>
        </w:rPr>
        <w:t>Fokszanach. Rząd rumuński („Rząd”) był reprezentowany przez pełnomocnika, panią</w:t>
      </w:r>
      <w:r w:rsidR="000F46C5">
        <w:rPr>
          <w:lang w:val="pl-PL"/>
        </w:rPr>
        <w:t xml:space="preserve"> </w:t>
      </w:r>
      <w:r w:rsidRPr="00977945">
        <w:rPr>
          <w:lang w:val="pl-PL"/>
        </w:rPr>
        <w:t>C.</w:t>
      </w:r>
      <w:r w:rsidR="000F46C5">
        <w:rPr>
          <w:lang w:val="pl-PL"/>
        </w:rPr>
        <w:t xml:space="preserve"> </w:t>
      </w:r>
      <w:r w:rsidRPr="00977945">
        <w:rPr>
          <w:lang w:val="pl-PL"/>
        </w:rPr>
        <w:t>Brumar, z Ministerstwa Spraw Zagranicznych.</w:t>
      </w:r>
    </w:p>
    <w:p w14:paraId="000BF3E7" w14:textId="644902DF" w:rsidR="009E53C0" w:rsidRPr="00977945" w:rsidRDefault="009E53C0" w:rsidP="000D30FE">
      <w:pPr>
        <w:pStyle w:val="ECHRPara"/>
        <w:rPr>
          <w:lang w:val="pl-PL"/>
        </w:rPr>
      </w:pPr>
      <w:r w:rsidRPr="00977945">
        <w:rPr>
          <w:lang w:val="pl-PL"/>
        </w:rPr>
        <w:t>3.</w:t>
      </w:r>
      <w:r>
        <w:rPr>
          <w:lang w:val="pl-PL"/>
        </w:rPr>
        <w:t xml:space="preserve"> </w:t>
      </w:r>
      <w:r w:rsidRPr="00977945">
        <w:rPr>
          <w:lang w:val="pl-PL"/>
        </w:rPr>
        <w:t>Skarżący zarzucał, iż był dwukrotnie sądzony i skazany za to samo przestępstwo oraz że z tego powodu doszło do naruszenia art. 4 Protokołu nr</w:t>
      </w:r>
      <w:r w:rsidR="00A56092">
        <w:rPr>
          <w:lang w:val="pl-PL"/>
        </w:rPr>
        <w:t> </w:t>
      </w:r>
      <w:r w:rsidRPr="00977945">
        <w:rPr>
          <w:lang w:val="pl-PL"/>
        </w:rPr>
        <w:t>7 do Konwencji.</w:t>
      </w:r>
    </w:p>
    <w:p w14:paraId="6598892E" w14:textId="7D000A6C" w:rsidR="009E53C0" w:rsidRPr="00977945" w:rsidRDefault="009E53C0" w:rsidP="000D30FE">
      <w:pPr>
        <w:pStyle w:val="ECHRPara"/>
        <w:rPr>
          <w:lang w:val="pl-PL"/>
        </w:rPr>
      </w:pPr>
      <w:r w:rsidRPr="00977945">
        <w:rPr>
          <w:lang w:val="pl-PL"/>
        </w:rPr>
        <w:t>4.</w:t>
      </w:r>
      <w:r>
        <w:rPr>
          <w:lang w:val="pl-PL"/>
        </w:rPr>
        <w:t xml:space="preserve"> </w:t>
      </w:r>
      <w:r w:rsidRPr="00977945">
        <w:rPr>
          <w:lang w:val="pl-PL"/>
        </w:rPr>
        <w:t>Skargę przypisano Sekcji Trzeciej Trybunału (Reguła</w:t>
      </w:r>
      <w:r w:rsidR="000F46C5">
        <w:rPr>
          <w:lang w:val="pl-PL"/>
        </w:rPr>
        <w:t xml:space="preserve"> </w:t>
      </w:r>
      <w:r w:rsidRPr="00977945">
        <w:rPr>
          <w:lang w:val="pl-PL"/>
        </w:rPr>
        <w:t>52 §</w:t>
      </w:r>
      <w:r w:rsidR="000F46C5">
        <w:rPr>
          <w:lang w:val="pl-PL"/>
        </w:rPr>
        <w:t xml:space="preserve"> </w:t>
      </w:r>
      <w:r w:rsidRPr="00977945">
        <w:rPr>
          <w:lang w:val="pl-PL"/>
        </w:rPr>
        <w:t>1 Regulaminu Trybunału). W dniu</w:t>
      </w:r>
      <w:r w:rsidR="000F46C5">
        <w:rPr>
          <w:lang w:val="pl-PL"/>
        </w:rPr>
        <w:t xml:space="preserve"> </w:t>
      </w:r>
      <w:r w:rsidRPr="00977945">
        <w:rPr>
          <w:lang w:val="pl-PL"/>
        </w:rPr>
        <w:t>19</w:t>
      </w:r>
      <w:r w:rsidR="000F46C5">
        <w:rPr>
          <w:lang w:val="pl-PL"/>
        </w:rPr>
        <w:t xml:space="preserve"> </w:t>
      </w:r>
      <w:r w:rsidRPr="00977945">
        <w:rPr>
          <w:lang w:val="pl-PL"/>
        </w:rPr>
        <w:t>czerwca</w:t>
      </w:r>
      <w:r w:rsidR="000F46C5">
        <w:rPr>
          <w:lang w:val="pl-PL"/>
        </w:rPr>
        <w:t xml:space="preserve"> </w:t>
      </w:r>
      <w:r w:rsidRPr="00977945">
        <w:rPr>
          <w:lang w:val="pl-PL"/>
        </w:rPr>
        <w:t>2013</w:t>
      </w:r>
      <w:r w:rsidR="000F46C5">
        <w:rPr>
          <w:lang w:val="pl-PL"/>
        </w:rPr>
        <w:t xml:space="preserve"> </w:t>
      </w:r>
      <w:r w:rsidRPr="00977945">
        <w:rPr>
          <w:lang w:val="pl-PL"/>
        </w:rPr>
        <w:t>r. skarga wniesiona na</w:t>
      </w:r>
      <w:r w:rsidR="00A56092">
        <w:rPr>
          <w:lang w:val="pl-PL"/>
        </w:rPr>
        <w:t> </w:t>
      </w:r>
      <w:r w:rsidRPr="00977945">
        <w:rPr>
          <w:lang w:val="pl-PL"/>
        </w:rPr>
        <w:t xml:space="preserve">podstawie art. 4 Protokołu nr 7 do Konwencji została zakomunikowana Rządowi, a pozostałą część skargi uznano za niedopuszczalną na podstawie </w:t>
      </w:r>
      <w:r w:rsidRPr="00977945">
        <w:rPr>
          <w:lang w:val="pl-PL"/>
        </w:rPr>
        <w:lastRenderedPageBreak/>
        <w:t>Reguły</w:t>
      </w:r>
      <w:r w:rsidR="000F46C5">
        <w:rPr>
          <w:lang w:val="pl-PL"/>
        </w:rPr>
        <w:t xml:space="preserve"> </w:t>
      </w:r>
      <w:r w:rsidRPr="00977945">
        <w:rPr>
          <w:lang w:val="pl-PL"/>
        </w:rPr>
        <w:t>54 §</w:t>
      </w:r>
      <w:r w:rsidR="000F46C5">
        <w:rPr>
          <w:lang w:val="pl-PL"/>
        </w:rPr>
        <w:t xml:space="preserve"> </w:t>
      </w:r>
      <w:r w:rsidRPr="00977945">
        <w:rPr>
          <w:lang w:val="pl-PL"/>
        </w:rPr>
        <w:t>3. Następnie skargę przypisano Sekcji Czwartej Trybunału. W</w:t>
      </w:r>
      <w:r w:rsidR="00A56092">
        <w:rPr>
          <w:lang w:val="pl-PL"/>
        </w:rPr>
        <w:t> </w:t>
      </w:r>
      <w:r w:rsidRPr="00977945">
        <w:rPr>
          <w:lang w:val="pl-PL"/>
        </w:rPr>
        <w:t>dniu 27 marca 2018 r. Izba tej Sekcji w składzie: Ganna Yudkivska, Przewodnicząca, Paulo Pinto de Albuquerque, Egidijus Kūris, Iulia Antoanella Motoc, Georges Ravarani, Marko Bošnjak i Péter Paczolay, sędziowie, a także Marialena Tsirli, Kanclerz Sekcji, postanowiła zrzec się jurysdykcji na rzecz Wielkiej Izby, przy czym żadna ze stron nie zgłosiła sprzeciwu (art. 30 Konwencji i Reguła 72).</w:t>
      </w:r>
    </w:p>
    <w:p w14:paraId="27D3A69F" w14:textId="33BBED0D" w:rsidR="009E53C0" w:rsidRPr="00977945" w:rsidRDefault="009E53C0" w:rsidP="000D30FE">
      <w:pPr>
        <w:pStyle w:val="ECHRPara"/>
        <w:rPr>
          <w:lang w:val="pl-PL"/>
        </w:rPr>
      </w:pPr>
      <w:r w:rsidRPr="00977945">
        <w:rPr>
          <w:lang w:val="pl-PL"/>
        </w:rPr>
        <w:t>5.</w:t>
      </w:r>
      <w:r>
        <w:rPr>
          <w:lang w:val="pl-PL"/>
        </w:rPr>
        <w:t xml:space="preserve"> </w:t>
      </w:r>
      <w:r w:rsidRPr="00977945">
        <w:rPr>
          <w:lang w:val="pl-PL"/>
        </w:rPr>
        <w:t>Skład Wielkiej Izby określono zgodnie z art.</w:t>
      </w:r>
      <w:r w:rsidR="000F46C5">
        <w:rPr>
          <w:lang w:val="pl-PL"/>
        </w:rPr>
        <w:t xml:space="preserve"> </w:t>
      </w:r>
      <w:r w:rsidRPr="00977945">
        <w:rPr>
          <w:lang w:val="pl-PL"/>
        </w:rPr>
        <w:t>26 ust.</w:t>
      </w:r>
      <w:r w:rsidR="000F46C5">
        <w:rPr>
          <w:lang w:val="pl-PL"/>
        </w:rPr>
        <w:t xml:space="preserve"> </w:t>
      </w:r>
      <w:r w:rsidRPr="00977945">
        <w:rPr>
          <w:lang w:val="pl-PL"/>
        </w:rPr>
        <w:t>4 i 5 Konwencji oraz Regułą</w:t>
      </w:r>
      <w:r w:rsidR="000F46C5">
        <w:rPr>
          <w:lang w:val="pl-PL"/>
        </w:rPr>
        <w:t xml:space="preserve"> </w:t>
      </w:r>
      <w:r w:rsidRPr="00977945">
        <w:rPr>
          <w:lang w:val="pl-PL"/>
        </w:rPr>
        <w:t>24 Regulaminu Trybunału.</w:t>
      </w:r>
    </w:p>
    <w:p w14:paraId="7DABDB01" w14:textId="77777777" w:rsidR="009E53C0" w:rsidRPr="00977945" w:rsidRDefault="009E53C0" w:rsidP="000D30FE">
      <w:pPr>
        <w:pStyle w:val="ECHRPara"/>
        <w:rPr>
          <w:lang w:val="pl-PL"/>
        </w:rPr>
      </w:pPr>
      <w:r w:rsidRPr="00977945">
        <w:rPr>
          <w:lang w:val="pl-PL"/>
        </w:rPr>
        <w:t>6.</w:t>
      </w:r>
      <w:r>
        <w:rPr>
          <w:lang w:val="pl-PL"/>
        </w:rPr>
        <w:t xml:space="preserve"> </w:t>
      </w:r>
      <w:r w:rsidRPr="00977945">
        <w:rPr>
          <w:lang w:val="pl-PL"/>
        </w:rPr>
        <w:t>Zarówno skarżący, jak i Rząd złożyli memoriał w sprawie dopuszczalności i przedmiotu sprawy.</w:t>
      </w:r>
    </w:p>
    <w:p w14:paraId="44FDACE0" w14:textId="059CC561" w:rsidR="009E53C0" w:rsidRPr="00977945" w:rsidRDefault="009E53C0" w:rsidP="000D30FE">
      <w:pPr>
        <w:pStyle w:val="ECHRPara"/>
        <w:rPr>
          <w:lang w:val="pl-PL"/>
        </w:rPr>
      </w:pPr>
      <w:r w:rsidRPr="00977945">
        <w:rPr>
          <w:lang w:val="pl-PL"/>
        </w:rPr>
        <w:t>7.</w:t>
      </w:r>
      <w:r>
        <w:rPr>
          <w:lang w:val="pl-PL"/>
        </w:rPr>
        <w:t xml:space="preserve"> </w:t>
      </w:r>
      <w:r w:rsidRPr="00977945">
        <w:rPr>
          <w:lang w:val="pl-PL"/>
        </w:rPr>
        <w:t>Rozprawa publiczna odbyła się w Budynku Praw Człowieka w</w:t>
      </w:r>
      <w:r w:rsidR="00A56092">
        <w:rPr>
          <w:lang w:val="pl-PL"/>
        </w:rPr>
        <w:t> </w:t>
      </w:r>
      <w:r w:rsidRPr="00977945">
        <w:rPr>
          <w:lang w:val="pl-PL"/>
        </w:rPr>
        <w:t>Strasburgu w dniu 3</w:t>
      </w:r>
      <w:r w:rsidR="000F46C5">
        <w:rPr>
          <w:lang w:val="pl-PL"/>
        </w:rPr>
        <w:t xml:space="preserve"> </w:t>
      </w:r>
      <w:r w:rsidRPr="00977945">
        <w:rPr>
          <w:lang w:val="pl-PL"/>
        </w:rPr>
        <w:t>października 2018</w:t>
      </w:r>
      <w:r w:rsidR="000F46C5">
        <w:rPr>
          <w:lang w:val="pl-PL"/>
        </w:rPr>
        <w:t xml:space="preserve"> </w:t>
      </w:r>
      <w:r w:rsidRPr="00977945">
        <w:rPr>
          <w:lang w:val="pl-PL"/>
        </w:rPr>
        <w:t>r. (Reguła</w:t>
      </w:r>
      <w:r w:rsidR="000F46C5">
        <w:rPr>
          <w:lang w:val="pl-PL"/>
        </w:rPr>
        <w:t xml:space="preserve"> </w:t>
      </w:r>
      <w:r w:rsidRPr="00977945">
        <w:rPr>
          <w:lang w:val="pl-PL"/>
        </w:rPr>
        <w:t>71 i Reguła 59 §</w:t>
      </w:r>
      <w:r w:rsidR="000F46C5">
        <w:rPr>
          <w:lang w:val="pl-PL"/>
        </w:rPr>
        <w:t xml:space="preserve"> </w:t>
      </w:r>
      <w:r w:rsidRPr="00977945">
        <w:rPr>
          <w:lang w:val="pl-PL"/>
        </w:rPr>
        <w:t>3).</w:t>
      </w:r>
    </w:p>
    <w:p w14:paraId="52DDDC6C" w14:textId="77777777" w:rsidR="009E53C0" w:rsidRPr="00977945" w:rsidRDefault="009E53C0" w:rsidP="000D30FE">
      <w:pPr>
        <w:pStyle w:val="ECHRPara"/>
        <w:rPr>
          <w:lang w:val="pl-PL"/>
        </w:rPr>
      </w:pPr>
      <w:r w:rsidRPr="00977945">
        <w:rPr>
          <w:lang w:val="pl-PL"/>
        </w:rPr>
        <w:t>Przed Trybunałem stawili się:</w:t>
      </w:r>
    </w:p>
    <w:p w14:paraId="245E0D47" w14:textId="09ED9E91" w:rsidR="009E53C0" w:rsidRDefault="009E53C0" w:rsidP="005956FF">
      <w:pPr>
        <w:pStyle w:val="JuCourt"/>
        <w:tabs>
          <w:tab w:val="clear" w:pos="1701"/>
          <w:tab w:val="left" w:pos="5954"/>
        </w:tabs>
        <w:rPr>
          <w:lang w:val="pl-PL"/>
        </w:rPr>
      </w:pPr>
      <w:r w:rsidRPr="00977945">
        <w:rPr>
          <w:lang w:val="pl-PL"/>
        </w:rPr>
        <w:t xml:space="preserve">a) </w:t>
      </w:r>
      <w:r w:rsidRPr="00977945">
        <w:rPr>
          <w:i/>
          <w:iCs/>
          <w:lang w:val="pl-PL"/>
        </w:rPr>
        <w:t>po stronie Rządu</w:t>
      </w:r>
      <w:r w:rsidRPr="00977945">
        <w:rPr>
          <w:lang w:val="pl-PL"/>
        </w:rPr>
        <w:br/>
        <w:t>Pani</w:t>
      </w:r>
      <w:r w:rsidRPr="00977945">
        <w:rPr>
          <w:lang w:val="pl-PL"/>
        </w:rPr>
        <w:tab/>
      </w:r>
      <w:r w:rsidRPr="00977945">
        <w:rPr>
          <w:rStyle w:val="JuNames0"/>
          <w:lang w:val="pl-PL"/>
        </w:rPr>
        <w:t>C. Brumar,</w:t>
      </w:r>
      <w:r w:rsidRPr="00977945">
        <w:rPr>
          <w:lang w:val="pl-PL"/>
        </w:rPr>
        <w:t xml:space="preserve"> Ministerstwo Spraw Zagranicznych,</w:t>
      </w:r>
      <w:r w:rsidRPr="00977945">
        <w:rPr>
          <w:lang w:val="pl-PL"/>
        </w:rPr>
        <w:tab/>
      </w:r>
      <w:r w:rsidRPr="00977945">
        <w:rPr>
          <w:i/>
          <w:iCs/>
          <w:lang w:val="pl-PL"/>
        </w:rPr>
        <w:t>pełnomocnik</w:t>
      </w:r>
      <w:r w:rsidRPr="00977945">
        <w:rPr>
          <w:lang w:val="pl-PL"/>
        </w:rPr>
        <w:t>,</w:t>
      </w:r>
      <w:r w:rsidRPr="00977945">
        <w:rPr>
          <w:lang w:val="pl-PL"/>
        </w:rPr>
        <w:br/>
      </w:r>
      <w:r>
        <w:rPr>
          <w:lang w:val="pl-PL"/>
        </w:rPr>
        <w:t>Pani</w:t>
      </w:r>
      <w:r w:rsidRPr="00977945">
        <w:rPr>
          <w:lang w:val="pl-PL"/>
        </w:rPr>
        <w:tab/>
      </w:r>
      <w:r w:rsidRPr="00977945">
        <w:rPr>
          <w:rStyle w:val="JuNames0"/>
          <w:lang w:val="pl-PL"/>
        </w:rPr>
        <w:t>S.D. Popa,</w:t>
      </w:r>
      <w:r w:rsidRPr="00977945">
        <w:rPr>
          <w:lang w:val="pl-PL"/>
        </w:rPr>
        <w:t xml:space="preserve"> Zastępca Stałego Przedstawiciela Rumunii </w:t>
      </w:r>
      <w:r w:rsidR="00CE11F4">
        <w:rPr>
          <w:lang w:val="pl-PL"/>
        </w:rPr>
        <w:t>przy</w:t>
      </w:r>
      <w:r w:rsidRPr="00977945">
        <w:rPr>
          <w:lang w:val="pl-PL"/>
        </w:rPr>
        <w:t xml:space="preserve"> Radzie Europy,</w:t>
      </w:r>
      <w:r w:rsidRPr="00977945">
        <w:rPr>
          <w:lang w:val="pl-PL"/>
        </w:rPr>
        <w:tab/>
      </w:r>
      <w:r w:rsidRPr="00977945">
        <w:rPr>
          <w:i/>
          <w:iCs/>
          <w:lang w:val="pl-PL"/>
        </w:rPr>
        <w:t>doradca</w:t>
      </w:r>
      <w:r w:rsidRPr="00977945">
        <w:rPr>
          <w:lang w:val="pl-PL"/>
        </w:rPr>
        <w:t>;</w:t>
      </w:r>
    </w:p>
    <w:p w14:paraId="473021CD" w14:textId="7BE8C41D" w:rsidR="009E53C0" w:rsidRPr="00977945" w:rsidRDefault="009E53C0" w:rsidP="000D30FE">
      <w:pPr>
        <w:pStyle w:val="JuCourt"/>
        <w:rPr>
          <w:lang w:val="pl-PL"/>
        </w:rPr>
      </w:pPr>
      <w:r w:rsidRPr="00977945">
        <w:rPr>
          <w:lang w:val="pl-PL"/>
        </w:rPr>
        <w:t xml:space="preserve">b) </w:t>
      </w:r>
      <w:r w:rsidRPr="00977945">
        <w:rPr>
          <w:i/>
          <w:iCs/>
          <w:lang w:val="pl-PL"/>
        </w:rPr>
        <w:t>po stronie skarżącego</w:t>
      </w:r>
      <w:r w:rsidRPr="00977945">
        <w:rPr>
          <w:lang w:val="pl-PL"/>
        </w:rPr>
        <w:br/>
        <w:t>Pan</w:t>
      </w:r>
      <w:r w:rsidRPr="00977945">
        <w:rPr>
          <w:lang w:val="pl-PL"/>
        </w:rPr>
        <w:tab/>
      </w:r>
      <w:r w:rsidRPr="00977945">
        <w:rPr>
          <w:rStyle w:val="JuNames0"/>
          <w:lang w:val="pl-PL"/>
        </w:rPr>
        <w:t>M. Bratu</w:t>
      </w:r>
      <w:r w:rsidRPr="00977945">
        <w:rPr>
          <w:lang w:val="pl-PL"/>
        </w:rPr>
        <w:t xml:space="preserve">, </w:t>
      </w:r>
      <w:r w:rsidR="00CE11F4">
        <w:rPr>
          <w:lang w:val="pl-PL"/>
        </w:rPr>
        <w:t>prawnik</w:t>
      </w:r>
      <w:r w:rsidRPr="00977945">
        <w:rPr>
          <w:lang w:val="pl-PL"/>
        </w:rPr>
        <w:t>,</w:t>
      </w:r>
      <w:r w:rsidRPr="00977945">
        <w:rPr>
          <w:lang w:val="pl-PL"/>
        </w:rPr>
        <w:tab/>
      </w:r>
      <w:r w:rsidRPr="00977945">
        <w:rPr>
          <w:i/>
          <w:iCs/>
          <w:lang w:val="pl-PL"/>
        </w:rPr>
        <w:t>radca prawny</w:t>
      </w:r>
      <w:r w:rsidRPr="00977945">
        <w:rPr>
          <w:lang w:val="pl-PL"/>
        </w:rPr>
        <w:t>.</w:t>
      </w:r>
      <w:r w:rsidRPr="00977945">
        <w:rPr>
          <w:lang w:val="pl-PL"/>
        </w:rPr>
        <w:br/>
      </w:r>
    </w:p>
    <w:p w14:paraId="1C8D9A7A" w14:textId="77777777" w:rsidR="009E53C0" w:rsidRPr="00977945" w:rsidRDefault="009E53C0" w:rsidP="000D30FE">
      <w:pPr>
        <w:pStyle w:val="ECHRPara"/>
        <w:rPr>
          <w:lang w:val="pl-PL"/>
        </w:rPr>
      </w:pPr>
      <w:r w:rsidRPr="00977945">
        <w:rPr>
          <w:lang w:val="pl-PL"/>
        </w:rPr>
        <w:t>Trybunał wysłuchał mów pani Brumar, pani Popa i pana Bratu oraz ich odpowiedzi na pytania zadawane przez sędziów.</w:t>
      </w:r>
    </w:p>
    <w:p w14:paraId="7F6C0E76" w14:textId="029F2F0B" w:rsidR="009E53C0" w:rsidRPr="00977945" w:rsidRDefault="00CE11F4" w:rsidP="000D30FE">
      <w:pPr>
        <w:pStyle w:val="ECHRTitle1"/>
        <w:rPr>
          <w:lang w:val="pl-PL"/>
        </w:rPr>
      </w:pPr>
      <w:r>
        <w:rPr>
          <w:lang w:val="pl-PL"/>
        </w:rPr>
        <w:t>FAKTY</w:t>
      </w:r>
    </w:p>
    <w:p w14:paraId="6F73C465" w14:textId="2BB88984" w:rsidR="009E53C0" w:rsidRPr="000F0EEB" w:rsidRDefault="009E53C0" w:rsidP="00807FCB">
      <w:pPr>
        <w:pStyle w:val="ECHRPara"/>
        <w:ind w:firstLine="0"/>
        <w:rPr>
          <w:i/>
          <w:iCs/>
          <w:lang w:val="pl-PL"/>
        </w:rPr>
      </w:pPr>
      <w:r w:rsidRPr="000F0EEB">
        <w:rPr>
          <w:i/>
          <w:iCs/>
          <w:lang w:val="pl-PL"/>
        </w:rPr>
        <w:t xml:space="preserve">[Paragrafy </w:t>
      </w:r>
      <w:r w:rsidR="00CE11F4">
        <w:rPr>
          <w:i/>
          <w:iCs/>
          <w:lang w:val="pl-PL"/>
        </w:rPr>
        <w:t>8</w:t>
      </w:r>
      <w:r w:rsidRPr="000F0EEB">
        <w:rPr>
          <w:i/>
          <w:iCs/>
          <w:lang w:val="pl-PL"/>
        </w:rPr>
        <w:t xml:space="preserve"> – 43 wyroku pominięto i zastąpiono tłumaczeniem poniższego streszczenia przygotowanego przez Kancelarię Europejskiego Trybunału Praw Człowieka</w:t>
      </w:r>
    </w:p>
    <w:p w14:paraId="47423686" w14:textId="77777777" w:rsidR="009E53C0" w:rsidRPr="000F0EEB" w:rsidRDefault="009E53C0" w:rsidP="00807FCB">
      <w:pPr>
        <w:pStyle w:val="ECHRPara"/>
        <w:ind w:firstLine="0"/>
        <w:rPr>
          <w:i/>
          <w:iCs/>
          <w:lang w:val="pl-PL"/>
        </w:rPr>
      </w:pPr>
    </w:p>
    <w:p w14:paraId="523298CE" w14:textId="77777777" w:rsidR="009E53C0" w:rsidRPr="00977945" w:rsidRDefault="009E53C0" w:rsidP="00807FCB">
      <w:pPr>
        <w:pStyle w:val="ECHRPara"/>
        <w:rPr>
          <w:u w:val="single"/>
          <w:lang w:val="pl-PL"/>
        </w:rPr>
      </w:pPr>
      <w:r w:rsidRPr="000F0EEB">
        <w:rPr>
          <w:i/>
          <w:iCs/>
          <w:u w:val="single"/>
          <w:lang w:val="pl-PL"/>
        </w:rPr>
        <w:t>Streszczenie stanu faktycznego</w:t>
      </w:r>
      <w:r w:rsidRPr="000F0EEB">
        <w:rPr>
          <w:rStyle w:val="Odwoanieprzypisudolnego"/>
          <w:u w:val="single"/>
          <w:lang w:val="pl-PL"/>
        </w:rPr>
        <w:footnoteReference w:id="2"/>
      </w:r>
      <w:r w:rsidRPr="000F0EEB">
        <w:rPr>
          <w:u w:val="single"/>
          <w:lang w:val="pl-PL"/>
        </w:rPr>
        <w:t>:</w:t>
      </w:r>
    </w:p>
    <w:p w14:paraId="7A1D06C7" w14:textId="0E7B7389" w:rsidR="009E53C0" w:rsidRPr="00977945" w:rsidRDefault="009E53C0" w:rsidP="000213A7">
      <w:pPr>
        <w:pStyle w:val="ClinContent"/>
        <w:rPr>
          <w:rFonts w:ascii="Times New Roman" w:hAnsi="Times New Roman" w:cs="Times New Roman"/>
          <w:sz w:val="24"/>
          <w:szCs w:val="24"/>
          <w:lang w:val="pl-PL"/>
        </w:rPr>
      </w:pPr>
      <w:r w:rsidRPr="00977945">
        <w:rPr>
          <w:lang w:val="pl-PL"/>
        </w:rPr>
        <w:t>„</w:t>
      </w:r>
      <w:r w:rsidRPr="00977945">
        <w:rPr>
          <w:rFonts w:ascii="Times New Roman" w:hAnsi="Times New Roman" w:cs="Times New Roman"/>
          <w:i/>
          <w:iCs/>
          <w:sz w:val="24"/>
          <w:szCs w:val="24"/>
          <w:lang w:val="pl-PL"/>
        </w:rPr>
        <w:t>Pierwsze postępowanie</w:t>
      </w:r>
      <w:r w:rsidRPr="00977945">
        <w:rPr>
          <w:rFonts w:ascii="Times New Roman" w:hAnsi="Times New Roman" w:cs="Times New Roman"/>
          <w:sz w:val="24"/>
          <w:szCs w:val="24"/>
          <w:lang w:val="pl-PL"/>
        </w:rPr>
        <w:t xml:space="preserve">: W sierpniu 2008 r., uznając, że popełnione czyny nie były na tyle poważne, by stanowić przestępstwo, prokuratura umorzyła wszczęte przeciwko skarżącemu postępowanie karne za odmowę udostępnienia próbki materiału biologicznego w celu określenia poziomu </w:t>
      </w:r>
      <w:r w:rsidRPr="00977945">
        <w:rPr>
          <w:rFonts w:ascii="Times New Roman" w:hAnsi="Times New Roman" w:cs="Times New Roman"/>
          <w:sz w:val="24"/>
          <w:szCs w:val="24"/>
          <w:lang w:val="pl-PL"/>
        </w:rPr>
        <w:lastRenderedPageBreak/>
        <w:t>zawartości alkoholu we krwi. Zamiast tego nałożono na niego grzywnę administracyjną (250 EUR). Skarżący nie odwołał się od tej decyzji w</w:t>
      </w:r>
      <w:r w:rsidR="00A56092">
        <w:rPr>
          <w:rFonts w:ascii="Times New Roman" w:hAnsi="Times New Roman" w:cs="Times New Roman"/>
          <w:sz w:val="24"/>
          <w:szCs w:val="24"/>
          <w:lang w:val="pl-PL"/>
        </w:rPr>
        <w:t> </w:t>
      </w:r>
      <w:r w:rsidRPr="00977945">
        <w:rPr>
          <w:rFonts w:ascii="Times New Roman" w:hAnsi="Times New Roman" w:cs="Times New Roman"/>
          <w:sz w:val="24"/>
          <w:szCs w:val="24"/>
          <w:lang w:val="pl-PL"/>
        </w:rPr>
        <w:t xml:space="preserve">terminie dwudziestu dni przewidzianym przez prawo krajowe i zapłacił grzywnę. </w:t>
      </w:r>
    </w:p>
    <w:p w14:paraId="19744387" w14:textId="597C24E5" w:rsidR="009E53C0" w:rsidRPr="00977945" w:rsidRDefault="009E53C0" w:rsidP="00CE11F4">
      <w:pPr>
        <w:pStyle w:val="ClinContent"/>
        <w:rPr>
          <w:lang w:val="pl-PL"/>
        </w:rPr>
      </w:pPr>
      <w:r w:rsidRPr="00977945">
        <w:rPr>
          <w:rFonts w:ascii="Times New Roman" w:hAnsi="Times New Roman" w:cs="Times New Roman"/>
          <w:i/>
          <w:iCs/>
          <w:sz w:val="24"/>
          <w:szCs w:val="24"/>
          <w:lang w:val="pl-PL"/>
        </w:rPr>
        <w:t>Drugie postępowanie</w:t>
      </w:r>
      <w:r w:rsidRPr="00977945">
        <w:rPr>
          <w:rFonts w:ascii="Times New Roman" w:hAnsi="Times New Roman" w:cs="Times New Roman"/>
          <w:sz w:val="24"/>
          <w:szCs w:val="24"/>
          <w:lang w:val="pl-PL"/>
        </w:rPr>
        <w:t>: W styczniu 2009 r. prokuratura wyższego szczebla uchyliła postanowienie o umorzeniu i karę grzywny administracyjnej nałożoną w pierwszym postępowaniu, stwierdzając, że okoliczności oraz</w:t>
      </w:r>
      <w:r w:rsidR="00A56092">
        <w:rPr>
          <w:rFonts w:ascii="Times New Roman" w:hAnsi="Times New Roman" w:cs="Times New Roman"/>
          <w:sz w:val="24"/>
          <w:szCs w:val="24"/>
          <w:lang w:val="pl-PL"/>
        </w:rPr>
        <w:t> </w:t>
      </w:r>
      <w:r w:rsidRPr="00977945">
        <w:rPr>
          <w:rFonts w:ascii="Times New Roman" w:hAnsi="Times New Roman" w:cs="Times New Roman"/>
          <w:sz w:val="24"/>
          <w:szCs w:val="24"/>
          <w:lang w:val="pl-PL"/>
        </w:rPr>
        <w:t>zagrożenie społeczne czynów skarżącego przemawiały za uznaniem, że</w:t>
      </w:r>
      <w:r w:rsidR="00A56092">
        <w:rPr>
          <w:rFonts w:ascii="Times New Roman" w:hAnsi="Times New Roman" w:cs="Times New Roman"/>
          <w:sz w:val="24"/>
          <w:szCs w:val="24"/>
          <w:lang w:val="pl-PL"/>
        </w:rPr>
        <w:t> </w:t>
      </w:r>
      <w:r w:rsidRPr="00977945">
        <w:rPr>
          <w:rFonts w:ascii="Times New Roman" w:hAnsi="Times New Roman" w:cs="Times New Roman"/>
          <w:sz w:val="24"/>
          <w:szCs w:val="24"/>
          <w:lang w:val="pl-PL"/>
        </w:rPr>
        <w:t>sama kara administracyjna była nieodpowiednia. Skarżącemu wymierzono następnie karę pozbawienia wolności jednego roku w</w:t>
      </w:r>
      <w:r w:rsidR="00A56092">
        <w:rPr>
          <w:rFonts w:ascii="Times New Roman" w:hAnsi="Times New Roman" w:cs="Times New Roman"/>
          <w:sz w:val="24"/>
          <w:szCs w:val="24"/>
          <w:lang w:val="pl-PL"/>
        </w:rPr>
        <w:t> </w:t>
      </w:r>
      <w:r w:rsidRPr="00977945">
        <w:rPr>
          <w:rFonts w:ascii="Times New Roman" w:hAnsi="Times New Roman" w:cs="Times New Roman"/>
          <w:sz w:val="24"/>
          <w:szCs w:val="24"/>
          <w:lang w:val="pl-PL"/>
        </w:rPr>
        <w:t xml:space="preserve">zawieszeniu. Sąd stwierdził, że nie można w sposób skuteczny powoływać się na zasadę </w:t>
      </w:r>
      <w:r w:rsidRPr="00977945">
        <w:rPr>
          <w:rFonts w:ascii="Times New Roman" w:hAnsi="Times New Roman" w:cs="Times New Roman"/>
          <w:i/>
          <w:iCs/>
          <w:sz w:val="24"/>
          <w:szCs w:val="24"/>
          <w:lang w:val="pl-PL"/>
        </w:rPr>
        <w:t>ne bis in idem</w:t>
      </w:r>
      <w:r w:rsidRPr="00977945">
        <w:rPr>
          <w:rFonts w:ascii="Times New Roman" w:hAnsi="Times New Roman" w:cs="Times New Roman"/>
          <w:sz w:val="24"/>
          <w:szCs w:val="24"/>
          <w:lang w:val="pl-PL"/>
        </w:rPr>
        <w:t>, ponieważ postanowienie o</w:t>
      </w:r>
      <w:r w:rsidR="000F46C5">
        <w:rPr>
          <w:rFonts w:ascii="Times New Roman" w:hAnsi="Times New Roman" w:cs="Times New Roman"/>
          <w:sz w:val="24"/>
          <w:szCs w:val="24"/>
          <w:lang w:val="pl-PL"/>
        </w:rPr>
        <w:t xml:space="preserve"> </w:t>
      </w:r>
      <w:r w:rsidRPr="00977945">
        <w:rPr>
          <w:rFonts w:ascii="Times New Roman" w:hAnsi="Times New Roman" w:cs="Times New Roman"/>
          <w:sz w:val="24"/>
          <w:szCs w:val="24"/>
          <w:lang w:val="pl-PL"/>
        </w:rPr>
        <w:t>umorzeniu nie</w:t>
      </w:r>
      <w:r w:rsidR="00A56092">
        <w:rPr>
          <w:rFonts w:ascii="Times New Roman" w:hAnsi="Times New Roman" w:cs="Times New Roman"/>
          <w:sz w:val="24"/>
          <w:szCs w:val="24"/>
          <w:lang w:val="pl-PL"/>
        </w:rPr>
        <w:t> </w:t>
      </w:r>
      <w:r w:rsidRPr="00977945">
        <w:rPr>
          <w:rFonts w:ascii="Times New Roman" w:hAnsi="Times New Roman" w:cs="Times New Roman"/>
          <w:sz w:val="24"/>
          <w:szCs w:val="24"/>
          <w:lang w:val="pl-PL"/>
        </w:rPr>
        <w:t>stanowiło wyroku skazującego lub uniewinniającego. Skarżący nie podjął działań w odniesieniu do zaoferowanej mu możliwości zwrotu zapłaconej grzywny”.</w:t>
      </w:r>
      <w:r>
        <w:rPr>
          <w:rFonts w:ascii="Times New Roman" w:hAnsi="Times New Roman" w:cs="Times New Roman"/>
          <w:sz w:val="24"/>
          <w:szCs w:val="24"/>
          <w:lang w:val="pl-PL"/>
        </w:rPr>
        <w:t>]</w:t>
      </w:r>
    </w:p>
    <w:p w14:paraId="1C4F62AB" w14:textId="77777777" w:rsidR="009E53C0" w:rsidRPr="00977945" w:rsidRDefault="009E53C0" w:rsidP="000D30FE">
      <w:pPr>
        <w:pStyle w:val="ECHRTitle1"/>
        <w:rPr>
          <w:lang w:val="pl-PL"/>
        </w:rPr>
      </w:pPr>
      <w:r w:rsidRPr="00977945">
        <w:rPr>
          <w:lang w:val="pl-PL"/>
        </w:rPr>
        <w:t>PRAWO</w:t>
      </w:r>
    </w:p>
    <w:p w14:paraId="2C88FEAF" w14:textId="0AA0440E" w:rsidR="009E53C0" w:rsidRPr="00977945" w:rsidRDefault="009E53C0" w:rsidP="000D30FE">
      <w:pPr>
        <w:pStyle w:val="ECHRHeading1"/>
        <w:rPr>
          <w:lang w:val="pl-PL"/>
        </w:rPr>
      </w:pPr>
      <w:r w:rsidRPr="00977945">
        <w:rPr>
          <w:lang w:val="pl-PL"/>
        </w:rPr>
        <w:t xml:space="preserve">I. </w:t>
      </w:r>
      <w:r w:rsidR="002D63B7">
        <w:rPr>
          <w:lang w:val="pl-PL"/>
        </w:rPr>
        <w:t>ZARZUC</w:t>
      </w:r>
      <w:r w:rsidRPr="00977945">
        <w:rPr>
          <w:lang w:val="pl-PL"/>
        </w:rPr>
        <w:t>ANE NARUSZENIE ART.</w:t>
      </w:r>
      <w:r w:rsidR="000F46C5">
        <w:rPr>
          <w:lang w:val="pl-PL"/>
        </w:rPr>
        <w:t xml:space="preserve"> </w:t>
      </w:r>
      <w:r w:rsidRPr="00977945">
        <w:rPr>
          <w:lang w:val="pl-PL"/>
        </w:rPr>
        <w:t>4 PROTOKOŁU NR</w:t>
      </w:r>
      <w:r w:rsidR="000F46C5">
        <w:rPr>
          <w:lang w:val="pl-PL"/>
        </w:rPr>
        <w:t xml:space="preserve"> </w:t>
      </w:r>
      <w:r w:rsidRPr="00977945">
        <w:rPr>
          <w:lang w:val="pl-PL"/>
        </w:rPr>
        <w:t>7 DO</w:t>
      </w:r>
      <w:r w:rsidR="00A56092">
        <w:rPr>
          <w:lang w:val="pl-PL"/>
        </w:rPr>
        <w:t> </w:t>
      </w:r>
      <w:r w:rsidRPr="00977945">
        <w:rPr>
          <w:lang w:val="pl-PL"/>
        </w:rPr>
        <w:t>KONWENCJI</w:t>
      </w:r>
    </w:p>
    <w:p w14:paraId="1E9F3AC5" w14:textId="415F95EB" w:rsidR="009E53C0" w:rsidRPr="00977945" w:rsidRDefault="009E53C0" w:rsidP="000D30FE">
      <w:pPr>
        <w:pStyle w:val="ECHRPara"/>
        <w:rPr>
          <w:lang w:val="pl-PL"/>
        </w:rPr>
      </w:pPr>
      <w:r w:rsidRPr="00977945">
        <w:rPr>
          <w:lang w:val="pl-PL"/>
        </w:rPr>
        <w:t>44.</w:t>
      </w:r>
      <w:bookmarkStart w:id="2" w:name="lt_pId461"/>
      <w:r>
        <w:rPr>
          <w:lang w:val="pl-PL"/>
        </w:rPr>
        <w:t xml:space="preserve"> </w:t>
      </w:r>
      <w:r w:rsidRPr="00977945">
        <w:rPr>
          <w:lang w:val="pl-PL"/>
        </w:rPr>
        <w:t>Skarżący zarzucał, iż był dwukrotnie sądzony i skazany w</w:t>
      </w:r>
      <w:r w:rsidR="00A56092">
        <w:rPr>
          <w:lang w:val="pl-PL"/>
        </w:rPr>
        <w:t> </w:t>
      </w:r>
      <w:r w:rsidRPr="00977945">
        <w:rPr>
          <w:lang w:val="pl-PL"/>
        </w:rPr>
        <w:t>postępowaniu karnym za ten sam czyn, z naruszeniem art. 4 ust. 1 Protokołu nr 7.</w:t>
      </w:r>
      <w:bookmarkEnd w:id="2"/>
      <w:r w:rsidRPr="00977945">
        <w:rPr>
          <w:lang w:val="pl-PL"/>
        </w:rPr>
        <w:t xml:space="preserve"> </w:t>
      </w:r>
      <w:bookmarkStart w:id="3" w:name="lt_pId462"/>
      <w:r w:rsidRPr="00977945">
        <w:rPr>
          <w:lang w:val="pl-PL"/>
        </w:rPr>
        <w:t>Podniósł również, że wznowienie postępowania przeciwko niemu nie było zgodne z kryteriami określonymi w art. 4 ust.</w:t>
      </w:r>
      <w:r w:rsidR="000F46C5">
        <w:rPr>
          <w:lang w:val="pl-PL"/>
        </w:rPr>
        <w:t xml:space="preserve"> </w:t>
      </w:r>
      <w:r w:rsidRPr="00977945">
        <w:rPr>
          <w:lang w:val="pl-PL"/>
        </w:rPr>
        <w:t>2. Artykuł 4 Protokołu nr 7 do Konwencji stanowi</w:t>
      </w:r>
      <w:bookmarkEnd w:id="3"/>
      <w:r w:rsidRPr="00977945">
        <w:rPr>
          <w:lang w:val="pl-PL"/>
        </w:rPr>
        <w:t>:</w:t>
      </w:r>
    </w:p>
    <w:p w14:paraId="5D9E5E13" w14:textId="4B5C56FB" w:rsidR="009E53C0" w:rsidRPr="00977945" w:rsidRDefault="009E53C0" w:rsidP="000D30FE">
      <w:pPr>
        <w:pStyle w:val="ECHRParaQuote"/>
        <w:rPr>
          <w:lang w:val="pl-PL"/>
        </w:rPr>
      </w:pPr>
      <w:bookmarkStart w:id="4" w:name="lt_pId472"/>
      <w:bookmarkStart w:id="5" w:name="lt_pId469"/>
      <w:bookmarkStart w:id="6" w:name="lt_pId467"/>
      <w:bookmarkEnd w:id="4"/>
      <w:bookmarkEnd w:id="5"/>
      <w:bookmarkEnd w:id="6"/>
      <w:r w:rsidRPr="00977945">
        <w:rPr>
          <w:lang w:val="pl-PL"/>
        </w:rPr>
        <w:t>„1.</w:t>
      </w:r>
      <w:r w:rsidR="000F46C5">
        <w:rPr>
          <w:lang w:val="pl-PL"/>
        </w:rPr>
        <w:t xml:space="preserve"> </w:t>
      </w:r>
      <w:r w:rsidR="002D63B7" w:rsidRPr="002D63B7">
        <w:rPr>
          <w:lang w:val="pl-PL"/>
        </w:rPr>
        <w:t>Nikt nie może być ponownie sądzony lub ukarany w postępowaniu przed sądem tego samego państwa za przestępstwo, za które został uprzednio skazany prawomocnym wyrokiem lub uniewinniony zgodnie z ustawą i zasadami postępowania karnego tego państwa</w:t>
      </w:r>
      <w:r w:rsidRPr="00977945">
        <w:rPr>
          <w:lang w:val="pl-PL"/>
        </w:rPr>
        <w:t>.</w:t>
      </w:r>
    </w:p>
    <w:p w14:paraId="1F8BD5D2" w14:textId="31F616C9" w:rsidR="009E53C0" w:rsidRPr="00977945" w:rsidRDefault="009E53C0" w:rsidP="000D30FE">
      <w:pPr>
        <w:pStyle w:val="ECHRParaQuote"/>
        <w:rPr>
          <w:lang w:val="pl-PL"/>
        </w:rPr>
      </w:pPr>
      <w:r w:rsidRPr="00977945">
        <w:rPr>
          <w:lang w:val="pl-PL"/>
        </w:rPr>
        <w:t>2.</w:t>
      </w:r>
      <w:r>
        <w:rPr>
          <w:lang w:val="pl-PL"/>
        </w:rPr>
        <w:t xml:space="preserve"> </w:t>
      </w:r>
      <w:r w:rsidR="002D63B7" w:rsidRPr="002D63B7">
        <w:rPr>
          <w:lang w:val="pl-PL"/>
        </w:rPr>
        <w:t xml:space="preserve">Postanowienia poprzedniego ustępu nie stoją na przeszkodzie wznowieniu postępowania zgodnie z ustawą i zasadami postępowania karnego danego państwa, jeśli zaistnieją nowe lub nowo ujawnione fakty lub jeśli w poprzednim postępowaniu </w:t>
      </w:r>
      <w:r w:rsidR="002D63B7" w:rsidRPr="00125DEC">
        <w:rPr>
          <w:lang w:val="pl-PL"/>
        </w:rPr>
        <w:t>dopuszczono się rażącego uchybienia, które mogło</w:t>
      </w:r>
      <w:r w:rsidR="002D63B7" w:rsidRPr="002D63B7">
        <w:rPr>
          <w:lang w:val="pl-PL"/>
        </w:rPr>
        <w:t xml:space="preserve"> mieć wpływ na wynik sprawy</w:t>
      </w:r>
      <w:r w:rsidRPr="00977945">
        <w:rPr>
          <w:lang w:val="pl-PL"/>
        </w:rPr>
        <w:t>.</w:t>
      </w:r>
    </w:p>
    <w:p w14:paraId="5296A7BD" w14:textId="48D4DFDB" w:rsidR="009E53C0" w:rsidRPr="00977945" w:rsidRDefault="009E53C0" w:rsidP="000D30FE">
      <w:pPr>
        <w:pStyle w:val="ECHRParaQuote"/>
        <w:rPr>
          <w:lang w:val="pl-PL"/>
        </w:rPr>
      </w:pPr>
      <w:r w:rsidRPr="00977945">
        <w:rPr>
          <w:lang w:val="pl-PL"/>
        </w:rPr>
        <w:t>3.</w:t>
      </w:r>
      <w:r>
        <w:rPr>
          <w:lang w:val="pl-PL"/>
        </w:rPr>
        <w:t xml:space="preserve"> </w:t>
      </w:r>
      <w:r w:rsidR="002D63B7" w:rsidRPr="002D63B7">
        <w:rPr>
          <w:lang w:val="pl-PL"/>
        </w:rPr>
        <w:t>Żadne z postanowień niniejszego artykułu nie może być uchylone na podstawie artykułu 15 Konwencji</w:t>
      </w:r>
      <w:r w:rsidRPr="00977945">
        <w:rPr>
          <w:lang w:val="pl-PL"/>
        </w:rPr>
        <w:t>”.</w:t>
      </w:r>
    </w:p>
    <w:p w14:paraId="78ADDE51" w14:textId="299CAF4C" w:rsidR="009E53C0" w:rsidRPr="00977945" w:rsidRDefault="009E53C0" w:rsidP="000D30FE">
      <w:pPr>
        <w:pStyle w:val="ECHRPara"/>
        <w:rPr>
          <w:lang w:val="pl-PL"/>
        </w:rPr>
      </w:pPr>
      <w:r w:rsidRPr="00977945">
        <w:rPr>
          <w:lang w:val="pl-PL"/>
        </w:rPr>
        <w:t>45.</w:t>
      </w:r>
      <w:r>
        <w:rPr>
          <w:lang w:val="pl-PL"/>
        </w:rPr>
        <w:t xml:space="preserve"> </w:t>
      </w:r>
      <w:r w:rsidRPr="00977945">
        <w:rPr>
          <w:lang w:val="pl-PL"/>
        </w:rPr>
        <w:t>Rząd kwestionował ten argument.</w:t>
      </w:r>
    </w:p>
    <w:p w14:paraId="4136AF67" w14:textId="7AFDCF2C" w:rsidR="009E53C0" w:rsidRPr="00977945" w:rsidRDefault="009E53C0" w:rsidP="000D30FE">
      <w:pPr>
        <w:pStyle w:val="ECHRHeading2"/>
        <w:rPr>
          <w:lang w:val="pl-PL"/>
        </w:rPr>
      </w:pPr>
      <w:r w:rsidRPr="00977945">
        <w:rPr>
          <w:lang w:val="pl-PL"/>
        </w:rPr>
        <w:lastRenderedPageBreak/>
        <w:t>A.</w:t>
      </w:r>
      <w:r w:rsidR="000F46C5">
        <w:rPr>
          <w:lang w:val="pl-PL"/>
        </w:rPr>
        <w:t xml:space="preserve"> </w:t>
      </w:r>
      <w:r w:rsidRPr="00977945">
        <w:rPr>
          <w:lang w:val="pl-PL"/>
        </w:rPr>
        <w:t>Dopuszczalność</w:t>
      </w:r>
    </w:p>
    <w:p w14:paraId="69F3E47F" w14:textId="0DE89F76" w:rsidR="009E53C0" w:rsidRPr="00977945" w:rsidRDefault="009E53C0" w:rsidP="000D30FE">
      <w:pPr>
        <w:pStyle w:val="ECHRPara"/>
        <w:rPr>
          <w:lang w:val="pl-PL"/>
        </w:rPr>
      </w:pPr>
      <w:r w:rsidRPr="00977945">
        <w:rPr>
          <w:lang w:val="pl-PL"/>
        </w:rPr>
        <w:t>46.</w:t>
      </w:r>
      <w:r>
        <w:rPr>
          <w:lang w:val="pl-PL"/>
        </w:rPr>
        <w:t xml:space="preserve"> </w:t>
      </w:r>
      <w:r w:rsidRPr="00977945">
        <w:rPr>
          <w:lang w:val="pl-PL"/>
        </w:rPr>
        <w:t>W opinii Trybunału skarga dotyczy skomplikowanych kwestii faktycznych i kwestii prawa wskazanego postanowieniami Konwencji, w</w:t>
      </w:r>
      <w:r w:rsidR="00A56092">
        <w:rPr>
          <w:lang w:val="pl-PL"/>
        </w:rPr>
        <w:t> </w:t>
      </w:r>
      <w:r w:rsidRPr="00977945">
        <w:rPr>
          <w:lang w:val="pl-PL"/>
        </w:rPr>
        <w:t>związku z czym skarga nie może zostać od</w:t>
      </w:r>
      <w:r w:rsidR="00E25746">
        <w:rPr>
          <w:lang w:val="pl-PL"/>
        </w:rPr>
        <w:t>rzucona</w:t>
      </w:r>
      <w:r w:rsidRPr="00977945">
        <w:rPr>
          <w:lang w:val="pl-PL"/>
        </w:rPr>
        <w:t xml:space="preserve"> jako w sposób oczywisty nieuzasadniona w rozumieniu art.</w:t>
      </w:r>
      <w:r w:rsidR="000F46C5">
        <w:rPr>
          <w:lang w:val="pl-PL"/>
        </w:rPr>
        <w:t xml:space="preserve"> </w:t>
      </w:r>
      <w:r w:rsidRPr="00977945">
        <w:rPr>
          <w:lang w:val="pl-PL"/>
        </w:rPr>
        <w:t>35 ust.</w:t>
      </w:r>
      <w:r w:rsidR="000F46C5">
        <w:rPr>
          <w:lang w:val="pl-PL"/>
        </w:rPr>
        <w:t xml:space="preserve"> </w:t>
      </w:r>
      <w:r w:rsidRPr="00977945">
        <w:rPr>
          <w:lang w:val="pl-PL"/>
        </w:rPr>
        <w:t>3 lit.</w:t>
      </w:r>
      <w:r w:rsidR="000F46C5">
        <w:rPr>
          <w:lang w:val="pl-PL"/>
        </w:rPr>
        <w:t xml:space="preserve"> </w:t>
      </w:r>
      <w:r w:rsidRPr="00977945">
        <w:rPr>
          <w:lang w:val="pl-PL"/>
        </w:rPr>
        <w:t>a Konwencji. Nadto Trybunał zauważa, że nie je</w:t>
      </w:r>
      <w:r w:rsidR="00E25746">
        <w:rPr>
          <w:lang w:val="pl-PL"/>
        </w:rPr>
        <w:t>st ona niedopuszczalna na żadnych innych podstawach</w:t>
      </w:r>
      <w:r w:rsidRPr="00977945">
        <w:rPr>
          <w:lang w:val="pl-PL"/>
        </w:rPr>
        <w:t>, a zatem należy ją uznać za dopuszczalną.</w:t>
      </w:r>
    </w:p>
    <w:p w14:paraId="4C91D36C" w14:textId="3847A1AE" w:rsidR="009E53C0" w:rsidRPr="00977945" w:rsidRDefault="009E53C0" w:rsidP="000D30FE">
      <w:pPr>
        <w:pStyle w:val="ECHRHeading2"/>
        <w:rPr>
          <w:lang w:val="pl-PL"/>
        </w:rPr>
      </w:pPr>
      <w:r w:rsidRPr="00977945">
        <w:rPr>
          <w:lang w:val="pl-PL"/>
        </w:rPr>
        <w:t>B.</w:t>
      </w:r>
      <w:r w:rsidR="000F46C5">
        <w:rPr>
          <w:lang w:val="pl-PL"/>
        </w:rPr>
        <w:t xml:space="preserve"> </w:t>
      </w:r>
      <w:r w:rsidRPr="00977945">
        <w:rPr>
          <w:lang w:val="pl-PL"/>
        </w:rPr>
        <w:t>Przedmiot skargi</w:t>
      </w:r>
    </w:p>
    <w:p w14:paraId="1168B6AC" w14:textId="303A3CA6" w:rsidR="009E53C0" w:rsidRPr="00977945" w:rsidRDefault="009E53C0" w:rsidP="000D30FE">
      <w:pPr>
        <w:pStyle w:val="ECHRPara"/>
        <w:rPr>
          <w:lang w:val="pl-PL"/>
        </w:rPr>
      </w:pPr>
      <w:bookmarkStart w:id="7" w:name="P50"/>
      <w:r w:rsidRPr="00977945">
        <w:rPr>
          <w:lang w:val="pl-PL"/>
        </w:rPr>
        <w:t>47</w:t>
      </w:r>
      <w:bookmarkEnd w:id="7"/>
      <w:r w:rsidRPr="00977945">
        <w:rPr>
          <w:lang w:val="pl-PL"/>
        </w:rPr>
        <w:t>.</w:t>
      </w:r>
      <w:r>
        <w:rPr>
          <w:lang w:val="pl-PL"/>
        </w:rPr>
        <w:t xml:space="preserve"> </w:t>
      </w:r>
      <w:r w:rsidRPr="00977945">
        <w:rPr>
          <w:color w:val="000000"/>
          <w:lang w:val="pl-PL"/>
        </w:rPr>
        <w:t>Trybunał przypomina, że gwarancja zawarta w art. 4 Protokołu nr 7 zajmuje istotne miejsce w systemie ochrony Konwencji, co podkreśla fakt, że</w:t>
      </w:r>
      <w:r w:rsidR="00A56092">
        <w:rPr>
          <w:color w:val="000000"/>
          <w:lang w:val="pl-PL"/>
        </w:rPr>
        <w:t> </w:t>
      </w:r>
      <w:r w:rsidRPr="00977945">
        <w:rPr>
          <w:color w:val="000000"/>
          <w:lang w:val="pl-PL"/>
        </w:rPr>
        <w:t>żadne odstępstwo od niego nie jest dopuszczalne na podstawie art. 15 Konwencji w czasie wojny lub innego stanu zagrożenia publicznego.</w:t>
      </w:r>
    </w:p>
    <w:p w14:paraId="79348F31" w14:textId="0E91ABE5" w:rsidR="009E53C0" w:rsidRPr="00977945" w:rsidRDefault="009E53C0" w:rsidP="000D30FE">
      <w:pPr>
        <w:pStyle w:val="ECHRPara"/>
        <w:rPr>
          <w:lang w:val="pl-PL"/>
        </w:rPr>
      </w:pPr>
      <w:r w:rsidRPr="00977945">
        <w:rPr>
          <w:lang w:val="pl-PL"/>
        </w:rPr>
        <w:t>48.</w:t>
      </w:r>
      <w:r>
        <w:rPr>
          <w:lang w:val="pl-PL"/>
        </w:rPr>
        <w:t xml:space="preserve"> </w:t>
      </w:r>
      <w:r w:rsidRPr="00977945">
        <w:rPr>
          <w:lang w:val="pl-PL"/>
        </w:rPr>
        <w:t>Ochrona przed powielaniem postępowania karnego jest jednym ze</w:t>
      </w:r>
      <w:r w:rsidR="00A56092">
        <w:rPr>
          <w:lang w:val="pl-PL"/>
        </w:rPr>
        <w:t> </w:t>
      </w:r>
      <w:r w:rsidRPr="00977945">
        <w:rPr>
          <w:lang w:val="pl-PL"/>
        </w:rPr>
        <w:t xml:space="preserve">szczególnych zabezpieczeń związanych z ogólną gwarancją sprawiedliwego rozpatrzenia sprawy w postępowaniu karnym. Artykuł 4 Protokołu nr 7 do Konwencji </w:t>
      </w:r>
      <w:r w:rsidRPr="00977945">
        <w:rPr>
          <w:lang w:val="pl-PL"/>
        </w:rPr>
        <w:t xml:space="preserve">ustanawia prawo </w:t>
      </w:r>
      <w:r w:rsidR="003A11B1">
        <w:rPr>
          <w:lang w:val="pl-PL"/>
        </w:rPr>
        <w:t>podstawowe</w:t>
      </w:r>
      <w:r w:rsidRPr="00977945">
        <w:rPr>
          <w:lang w:val="pl-PL"/>
        </w:rPr>
        <w:t xml:space="preserve"> gwarantujące, że</w:t>
      </w:r>
      <w:r w:rsidR="00A56092">
        <w:rPr>
          <w:lang w:val="pl-PL"/>
        </w:rPr>
        <w:t> </w:t>
      </w:r>
      <w:r w:rsidRPr="00977945">
        <w:rPr>
          <w:lang w:val="pl-PL"/>
        </w:rPr>
        <w:t>nikt nie może być sądzony lub ukarany w postępowaniu karnym za</w:t>
      </w:r>
      <w:r w:rsidR="00A56092">
        <w:rPr>
          <w:lang w:val="pl-PL"/>
        </w:rPr>
        <w:t> </w:t>
      </w:r>
      <w:r w:rsidRPr="00977945">
        <w:rPr>
          <w:lang w:val="pl-PL"/>
        </w:rPr>
        <w:t>przestępstwo, za które został już skazany prawomocnym wyrokiem lub</w:t>
      </w:r>
      <w:r w:rsidR="00A56092">
        <w:rPr>
          <w:lang w:val="pl-PL"/>
        </w:rPr>
        <w:t> </w:t>
      </w:r>
      <w:r w:rsidRPr="00977945">
        <w:rPr>
          <w:lang w:val="pl-PL"/>
        </w:rPr>
        <w:t xml:space="preserve">uniewinniony (zob. </w:t>
      </w:r>
      <w:r w:rsidRPr="00977945">
        <w:rPr>
          <w:i/>
          <w:iCs/>
          <w:lang w:val="pl-PL"/>
        </w:rPr>
        <w:t xml:space="preserve">Marguš przeciwko Chorwacji </w:t>
      </w:r>
      <w:r w:rsidRPr="00977945">
        <w:rPr>
          <w:lang w:val="pl-PL"/>
        </w:rPr>
        <w:t>[WI], nr 4455/10, §</w:t>
      </w:r>
      <w:r w:rsidR="00A56092">
        <w:rPr>
          <w:lang w:val="pl-PL"/>
        </w:rPr>
        <w:t> </w:t>
      </w:r>
      <w:r w:rsidRPr="00977945">
        <w:rPr>
          <w:lang w:val="pl-PL"/>
        </w:rPr>
        <w:t xml:space="preserve">114, </w:t>
      </w:r>
      <w:r w:rsidR="000F46C5">
        <w:rPr>
          <w:lang w:val="pl-PL"/>
        </w:rPr>
        <w:t>ETPC</w:t>
      </w:r>
      <w:r w:rsidRPr="00977945">
        <w:rPr>
          <w:lang w:val="pl-PL"/>
        </w:rPr>
        <w:t xml:space="preserve"> 2014 (fragmenty); </w:t>
      </w:r>
      <w:r w:rsidRPr="00977945">
        <w:rPr>
          <w:i/>
          <w:iCs/>
          <w:lang w:val="pl-PL"/>
        </w:rPr>
        <w:t>Sergey Zolotukhin przeciwko</w:t>
      </w:r>
      <w:r w:rsidR="000F46C5">
        <w:rPr>
          <w:i/>
          <w:iCs/>
          <w:lang w:val="pl-PL"/>
        </w:rPr>
        <w:t xml:space="preserve"> </w:t>
      </w:r>
      <w:r w:rsidRPr="00977945">
        <w:rPr>
          <w:i/>
          <w:iCs/>
          <w:lang w:val="pl-PL"/>
        </w:rPr>
        <w:t>Rosji</w:t>
      </w:r>
      <w:r w:rsidRPr="00977945">
        <w:rPr>
          <w:lang w:val="pl-PL"/>
        </w:rPr>
        <w:t xml:space="preserve"> [WI], nr</w:t>
      </w:r>
      <w:r w:rsidR="00A56092">
        <w:rPr>
          <w:lang w:val="pl-PL"/>
        </w:rPr>
        <w:t> </w:t>
      </w:r>
      <w:r w:rsidRPr="00977945">
        <w:rPr>
          <w:lang w:val="pl-PL"/>
        </w:rPr>
        <w:t>14939/03, §</w:t>
      </w:r>
      <w:r w:rsidR="000F46C5">
        <w:rPr>
          <w:lang w:val="pl-PL"/>
        </w:rPr>
        <w:t xml:space="preserve"> </w:t>
      </w:r>
      <w:r w:rsidRPr="00977945">
        <w:rPr>
          <w:lang w:val="pl-PL"/>
        </w:rPr>
        <w:t xml:space="preserve">58, </w:t>
      </w:r>
      <w:r w:rsidR="000F46C5">
        <w:rPr>
          <w:lang w:val="pl-PL"/>
        </w:rPr>
        <w:t>ETPC</w:t>
      </w:r>
      <w:r w:rsidRPr="00977945">
        <w:rPr>
          <w:lang w:val="pl-PL"/>
        </w:rPr>
        <w:t xml:space="preserve"> 2009; </w:t>
      </w:r>
      <w:r w:rsidRPr="00977945">
        <w:rPr>
          <w:i/>
          <w:iCs/>
          <w:lang w:val="pl-PL"/>
        </w:rPr>
        <w:t>Nikitin przeciwko</w:t>
      </w:r>
      <w:r w:rsidR="000F46C5">
        <w:rPr>
          <w:i/>
          <w:iCs/>
          <w:lang w:val="pl-PL"/>
        </w:rPr>
        <w:t xml:space="preserve"> </w:t>
      </w:r>
      <w:r w:rsidRPr="00977945">
        <w:rPr>
          <w:i/>
          <w:iCs/>
          <w:lang w:val="pl-PL"/>
        </w:rPr>
        <w:t>Rosji</w:t>
      </w:r>
      <w:r w:rsidRPr="00977945">
        <w:rPr>
          <w:lang w:val="pl-PL"/>
        </w:rPr>
        <w:t>, nr</w:t>
      </w:r>
      <w:r w:rsidR="000F46C5">
        <w:rPr>
          <w:lang w:val="pl-PL"/>
        </w:rPr>
        <w:t xml:space="preserve"> </w:t>
      </w:r>
      <w:r w:rsidRPr="00977945">
        <w:rPr>
          <w:lang w:val="pl-PL"/>
        </w:rPr>
        <w:t xml:space="preserve">50178/99, § 35, </w:t>
      </w:r>
      <w:r w:rsidR="000F46C5">
        <w:rPr>
          <w:lang w:val="pl-PL"/>
        </w:rPr>
        <w:t>ETPC</w:t>
      </w:r>
      <w:r w:rsidRPr="00977945">
        <w:rPr>
          <w:lang w:val="pl-PL"/>
        </w:rPr>
        <w:t xml:space="preserve"> 2004-VIII; oraz </w:t>
      </w:r>
      <w:r w:rsidRPr="00977945">
        <w:rPr>
          <w:i/>
          <w:iCs/>
          <w:lang w:val="pl-PL"/>
        </w:rPr>
        <w:t>Kadušić przeciwko</w:t>
      </w:r>
      <w:r w:rsidR="000F46C5">
        <w:rPr>
          <w:i/>
          <w:iCs/>
          <w:lang w:val="pl-PL"/>
        </w:rPr>
        <w:t xml:space="preserve"> </w:t>
      </w:r>
      <w:r w:rsidRPr="00977945">
        <w:rPr>
          <w:i/>
          <w:iCs/>
          <w:lang w:val="pl-PL"/>
        </w:rPr>
        <w:t>Szwajcarii</w:t>
      </w:r>
      <w:r w:rsidRPr="00977945">
        <w:rPr>
          <w:lang w:val="pl-PL"/>
        </w:rPr>
        <w:t>, nr</w:t>
      </w:r>
      <w:r w:rsidR="000F46C5">
        <w:rPr>
          <w:lang w:val="pl-PL"/>
        </w:rPr>
        <w:t xml:space="preserve"> </w:t>
      </w:r>
      <w:r w:rsidRPr="00977945">
        <w:rPr>
          <w:lang w:val="pl-PL"/>
        </w:rPr>
        <w:t>43977/13, § 82, 9</w:t>
      </w:r>
      <w:r w:rsidR="00A56092">
        <w:rPr>
          <w:lang w:val="pl-PL"/>
        </w:rPr>
        <w:t> </w:t>
      </w:r>
      <w:r w:rsidRPr="00977945">
        <w:rPr>
          <w:lang w:val="pl-PL"/>
        </w:rPr>
        <w:t>stycznia 2018 r.).</w:t>
      </w:r>
      <w:bookmarkStart w:id="8" w:name="lt_pId485"/>
      <w:bookmarkEnd w:id="8"/>
      <w:r w:rsidRPr="00977945">
        <w:rPr>
          <w:lang w:val="pl-PL"/>
        </w:rPr>
        <w:t xml:space="preserve"> Aspekt powtarzalności procesu lub kary jest kluczowy dla problemu prawnego, którego dotyczy art. 4 Protokołu nr 7 (zob. </w:t>
      </w:r>
      <w:r w:rsidRPr="00977945">
        <w:rPr>
          <w:i/>
          <w:iCs/>
          <w:lang w:val="pl-PL"/>
        </w:rPr>
        <w:t>Nikitin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 35).</w:t>
      </w:r>
    </w:p>
    <w:p w14:paraId="7066392B" w14:textId="738F3169" w:rsidR="009E53C0" w:rsidRPr="00977945" w:rsidRDefault="009E53C0" w:rsidP="000D30FE">
      <w:pPr>
        <w:pStyle w:val="ECHRPara"/>
        <w:rPr>
          <w:lang w:val="pl-PL"/>
        </w:rPr>
      </w:pPr>
      <w:r w:rsidRPr="00977945">
        <w:rPr>
          <w:lang w:val="pl-PL"/>
        </w:rPr>
        <w:t>49.</w:t>
      </w:r>
      <w:bookmarkStart w:id="9" w:name="lt_pId487"/>
      <w:bookmarkStart w:id="10" w:name="lt_pId488"/>
      <w:bookmarkEnd w:id="9"/>
      <w:r>
        <w:rPr>
          <w:lang w:val="pl-PL"/>
        </w:rPr>
        <w:t xml:space="preserve"> </w:t>
      </w:r>
      <w:r w:rsidRPr="00977945">
        <w:rPr>
          <w:lang w:val="pl-PL"/>
        </w:rPr>
        <w:t>Trybunał zauważ</w:t>
      </w:r>
      <w:r w:rsidR="003A11B1">
        <w:rPr>
          <w:lang w:val="pl-PL"/>
        </w:rPr>
        <w:t>a</w:t>
      </w:r>
      <w:r w:rsidRPr="00977945">
        <w:rPr>
          <w:lang w:val="pl-PL"/>
        </w:rPr>
        <w:t xml:space="preserve">, że brzmienie art. 4 </w:t>
      </w:r>
      <w:r w:rsidR="003A11B1" w:rsidRPr="009B6205">
        <w:rPr>
          <w:lang w:val="pl-PL"/>
        </w:rPr>
        <w:t>ust. 1</w:t>
      </w:r>
      <w:r w:rsidR="003A11B1">
        <w:rPr>
          <w:lang w:val="pl-PL"/>
        </w:rPr>
        <w:t xml:space="preserve"> </w:t>
      </w:r>
      <w:r w:rsidRPr="00977945">
        <w:rPr>
          <w:lang w:val="pl-PL"/>
        </w:rPr>
        <w:t>Protokołu nr</w:t>
      </w:r>
      <w:r w:rsidR="000F46C5">
        <w:rPr>
          <w:lang w:val="pl-PL"/>
        </w:rPr>
        <w:t xml:space="preserve"> </w:t>
      </w:r>
      <w:r w:rsidRPr="00977945">
        <w:rPr>
          <w:lang w:val="pl-PL"/>
        </w:rPr>
        <w:t xml:space="preserve">7 określa trzy elementy zasady </w:t>
      </w:r>
      <w:r w:rsidRPr="00977945">
        <w:rPr>
          <w:i/>
          <w:iCs/>
          <w:lang w:val="pl-PL"/>
        </w:rPr>
        <w:t>ne bis in idem</w:t>
      </w:r>
      <w:r w:rsidRPr="00977945">
        <w:rPr>
          <w:lang w:val="pl-PL"/>
        </w:rPr>
        <w:t xml:space="preserve">: obydwa postępowania muszą mieć charakter „karny” (1); muszą dotyczyć tych samych </w:t>
      </w:r>
      <w:r>
        <w:rPr>
          <w:lang w:val="pl-PL"/>
        </w:rPr>
        <w:t>faktów</w:t>
      </w:r>
      <w:r w:rsidRPr="00977945">
        <w:rPr>
          <w:lang w:val="pl-PL"/>
        </w:rPr>
        <w:t xml:space="preserve"> (2); oraz musi nastąpić powielenie postępowania (3). Ocenione zostaną kolejno wszystkie te elementy.</w:t>
      </w:r>
      <w:bookmarkEnd w:id="10"/>
    </w:p>
    <w:p w14:paraId="1CAC15E4" w14:textId="057C3880" w:rsidR="009E53C0" w:rsidRPr="00977945" w:rsidRDefault="009E53C0" w:rsidP="000D30FE">
      <w:pPr>
        <w:pStyle w:val="ECHRHeading3"/>
        <w:rPr>
          <w:lang w:val="pl-PL"/>
        </w:rPr>
      </w:pPr>
      <w:r w:rsidRPr="00977945">
        <w:rPr>
          <w:lang w:val="pl-PL"/>
        </w:rPr>
        <w:t>1.</w:t>
      </w:r>
      <w:bookmarkStart w:id="11" w:name="lt_pId490"/>
      <w:r>
        <w:rPr>
          <w:lang w:val="pl-PL"/>
        </w:rPr>
        <w:t xml:space="preserve"> </w:t>
      </w:r>
      <w:r w:rsidRPr="00977945">
        <w:rPr>
          <w:lang w:val="pl-PL"/>
        </w:rPr>
        <w:t>Czy postępowanie, które doprowadziło do wydania postanowienia z</w:t>
      </w:r>
      <w:r w:rsidR="00A56092">
        <w:rPr>
          <w:lang w:val="pl-PL"/>
        </w:rPr>
        <w:t> </w:t>
      </w:r>
      <w:r w:rsidRPr="00977945">
        <w:rPr>
          <w:lang w:val="pl-PL"/>
        </w:rPr>
        <w:t>dnia 7 sierpnia 2008 r</w:t>
      </w:r>
      <w:r w:rsidR="00A30355">
        <w:rPr>
          <w:lang w:val="pl-PL"/>
        </w:rPr>
        <w:t>,</w:t>
      </w:r>
      <w:r w:rsidRPr="00977945">
        <w:rPr>
          <w:lang w:val="pl-PL"/>
        </w:rPr>
        <w:t>. miało charakter karny</w:t>
      </w:r>
      <w:bookmarkEnd w:id="11"/>
    </w:p>
    <w:p w14:paraId="10D09BA1" w14:textId="540A3A2B" w:rsidR="009E53C0" w:rsidRPr="00977945" w:rsidRDefault="009E53C0" w:rsidP="000D30FE">
      <w:pPr>
        <w:pStyle w:val="ECHRPara"/>
        <w:rPr>
          <w:lang w:val="pl-PL"/>
        </w:rPr>
      </w:pPr>
      <w:r w:rsidRPr="00977945">
        <w:rPr>
          <w:lang w:val="pl-PL"/>
        </w:rPr>
        <w:t>50.</w:t>
      </w:r>
      <w:bookmarkStart w:id="12" w:name="lt_pId492"/>
      <w:r>
        <w:rPr>
          <w:lang w:val="pl-PL"/>
        </w:rPr>
        <w:t xml:space="preserve"> </w:t>
      </w:r>
      <w:r w:rsidRPr="00977945">
        <w:rPr>
          <w:lang w:val="pl-PL"/>
        </w:rPr>
        <w:t>Należy zwrócić uwagę, że postanowieniem z dnia 7 sierpnia 2008 r. prokuratura umorzyła postępowanie karne wszczęte przeciwko skarżącemu w związku z odmową udostępnienia próbki materiału biologicznego w celu ustalenia poziomu zawartości alkoholu we krwi, uznając, że popełnione czyny nie stanowią przestępstwa w rozumieniu prawa karnego. Jednakże w</w:t>
      </w:r>
      <w:r w:rsidR="00A56092">
        <w:rPr>
          <w:lang w:val="pl-PL"/>
        </w:rPr>
        <w:t> </w:t>
      </w:r>
      <w:r w:rsidRPr="00977945">
        <w:rPr>
          <w:lang w:val="pl-PL"/>
        </w:rPr>
        <w:t xml:space="preserve">tym samym </w:t>
      </w:r>
      <w:bookmarkStart w:id="13" w:name="lt_pId493"/>
      <w:bookmarkEnd w:id="12"/>
      <w:r w:rsidRPr="00977945">
        <w:rPr>
          <w:lang w:val="pl-PL"/>
        </w:rPr>
        <w:t xml:space="preserve">postanowieniu prokuratura nałożyła na skarżącego karę określoną w </w:t>
      </w:r>
      <w:r w:rsidR="000F46C5" w:rsidRPr="00977945">
        <w:rPr>
          <w:lang w:val="pl-PL"/>
        </w:rPr>
        <w:t xml:space="preserve">Kodeksie </w:t>
      </w:r>
      <w:r w:rsidRPr="00977945">
        <w:rPr>
          <w:lang w:val="pl-PL"/>
        </w:rPr>
        <w:t>karnym jako „administracyjna”.</w:t>
      </w:r>
      <w:bookmarkEnd w:id="13"/>
      <w:r w:rsidRPr="00977945">
        <w:rPr>
          <w:lang w:val="pl-PL"/>
        </w:rPr>
        <w:t xml:space="preserve"> Zatem w celu ustalenia, czy skarżący został „skazany prawomocnym wyrokiem </w:t>
      </w:r>
      <w:r w:rsidRPr="00977945">
        <w:rPr>
          <w:lang w:val="pl-PL"/>
        </w:rPr>
        <w:lastRenderedPageBreak/>
        <w:t>lub</w:t>
      </w:r>
      <w:r w:rsidR="00A56092">
        <w:rPr>
          <w:lang w:val="pl-PL"/>
        </w:rPr>
        <w:t> </w:t>
      </w:r>
      <w:r w:rsidRPr="00977945">
        <w:rPr>
          <w:lang w:val="pl-PL"/>
        </w:rPr>
        <w:t xml:space="preserve">uniewinniony zgodnie z ustawą i zasadami postępowania karnego [tego] </w:t>
      </w:r>
      <w:r>
        <w:rPr>
          <w:lang w:val="pl-PL"/>
        </w:rPr>
        <w:t>p</w:t>
      </w:r>
      <w:r w:rsidRPr="00977945">
        <w:rPr>
          <w:lang w:val="pl-PL"/>
        </w:rPr>
        <w:t>aństwa”, pierwszą kwestią, którą należy rozstrzygnąć jest to, czy</w:t>
      </w:r>
      <w:r w:rsidR="00A56092">
        <w:rPr>
          <w:lang w:val="pl-PL"/>
        </w:rPr>
        <w:t> </w:t>
      </w:r>
      <w:r w:rsidRPr="00977945">
        <w:rPr>
          <w:lang w:val="pl-PL"/>
        </w:rPr>
        <w:t>postępowanie to dotyczyło sprawy „karnej” w rozumieniu art. 4 Protokołu nr 7.</w:t>
      </w:r>
    </w:p>
    <w:p w14:paraId="2DEF3420" w14:textId="77777777" w:rsidR="009E53C0" w:rsidRPr="00977945" w:rsidRDefault="009E53C0" w:rsidP="000D30FE">
      <w:pPr>
        <w:pStyle w:val="ECHRHeading4"/>
        <w:rPr>
          <w:lang w:val="pl-PL"/>
        </w:rPr>
      </w:pPr>
      <w:bookmarkStart w:id="14" w:name="lt_pId495"/>
      <w:bookmarkStart w:id="15" w:name="_Toc501008599"/>
      <w:r w:rsidRPr="00977945">
        <w:rPr>
          <w:lang w:val="pl-PL"/>
        </w:rPr>
        <w:t>a)</w:t>
      </w:r>
      <w:bookmarkEnd w:id="14"/>
      <w:r w:rsidRPr="00977945">
        <w:rPr>
          <w:lang w:val="pl-PL"/>
        </w:rPr>
        <w:t xml:space="preserve"> </w:t>
      </w:r>
      <w:bookmarkStart w:id="16" w:name="lt_pId496"/>
      <w:r w:rsidRPr="00977945">
        <w:rPr>
          <w:lang w:val="pl-PL"/>
        </w:rPr>
        <w:t>Stanowiska stron</w:t>
      </w:r>
      <w:bookmarkEnd w:id="16"/>
    </w:p>
    <w:p w14:paraId="4CAF71C9" w14:textId="77777777" w:rsidR="009E53C0" w:rsidRPr="00977945" w:rsidRDefault="009E53C0" w:rsidP="000D30FE">
      <w:pPr>
        <w:pStyle w:val="ECHRHeading5"/>
        <w:rPr>
          <w:lang w:val="pl-PL"/>
        </w:rPr>
      </w:pPr>
      <w:bookmarkStart w:id="17" w:name="lt_pId497"/>
      <w:r w:rsidRPr="00977945">
        <w:rPr>
          <w:lang w:val="pl-PL"/>
        </w:rPr>
        <w:t>(i)</w:t>
      </w:r>
      <w:bookmarkStart w:id="18" w:name="lt_pId498"/>
      <w:bookmarkEnd w:id="17"/>
      <w:r>
        <w:rPr>
          <w:lang w:val="pl-PL"/>
        </w:rPr>
        <w:t xml:space="preserve"> </w:t>
      </w:r>
      <w:r w:rsidRPr="00977945">
        <w:rPr>
          <w:lang w:val="pl-PL"/>
        </w:rPr>
        <w:t>Rząd</w:t>
      </w:r>
      <w:bookmarkEnd w:id="15"/>
      <w:bookmarkEnd w:id="18"/>
    </w:p>
    <w:p w14:paraId="01AD14C6" w14:textId="7747D972" w:rsidR="009E53C0" w:rsidRPr="00977945" w:rsidRDefault="009E53C0" w:rsidP="000D30FE">
      <w:pPr>
        <w:pStyle w:val="ECHRPara"/>
        <w:rPr>
          <w:lang w:val="pl-PL"/>
        </w:rPr>
      </w:pPr>
      <w:r w:rsidRPr="00977945">
        <w:rPr>
          <w:lang w:val="pl-PL"/>
        </w:rPr>
        <w:t>51.</w:t>
      </w:r>
      <w:r>
        <w:rPr>
          <w:lang w:val="pl-PL"/>
        </w:rPr>
        <w:t xml:space="preserve"> </w:t>
      </w:r>
      <w:r w:rsidRPr="00977945">
        <w:rPr>
          <w:lang w:val="pl-PL"/>
        </w:rPr>
        <w:t>Rząd wskazał, że art. 87 § 5 rozporządzenia nr 194/2002 podlega rumuńskiemu prawu karnemu ze względu na cel tego przepisu, kwalifikację czynów jako przestępstwa oraz nałożoną karę.</w:t>
      </w:r>
      <w:bookmarkStart w:id="19" w:name="lt_pId501"/>
      <w:r w:rsidRPr="00977945">
        <w:rPr>
          <w:lang w:val="pl-PL"/>
        </w:rPr>
        <w:t xml:space="preserve"> Rząd podn</w:t>
      </w:r>
      <w:r w:rsidR="00A30355">
        <w:rPr>
          <w:lang w:val="pl-PL"/>
        </w:rPr>
        <w:t>ió</w:t>
      </w:r>
      <w:r w:rsidRPr="00977945">
        <w:rPr>
          <w:lang w:val="pl-PL"/>
        </w:rPr>
        <w:t>s</w:t>
      </w:r>
      <w:r w:rsidR="00A30355">
        <w:rPr>
          <w:lang w:val="pl-PL"/>
        </w:rPr>
        <w:t>ł</w:t>
      </w:r>
      <w:r w:rsidRPr="00977945">
        <w:rPr>
          <w:lang w:val="pl-PL"/>
        </w:rPr>
        <w:t>, że nałożenie na skarżącego kary administracyjnej nie zmieniło charakteru postępowania, które nadal miało charakter karny, a jedynie „zapożyczyło” karę ze sfery administracyjnej.</w:t>
      </w:r>
      <w:bookmarkEnd w:id="19"/>
    </w:p>
    <w:p w14:paraId="6802A0DB" w14:textId="7489EF89" w:rsidR="009E53C0" w:rsidRPr="00977945" w:rsidRDefault="009E53C0" w:rsidP="000D30FE">
      <w:pPr>
        <w:pStyle w:val="ECHRHeading5"/>
        <w:rPr>
          <w:lang w:val="pl-PL"/>
        </w:rPr>
      </w:pPr>
      <w:bookmarkStart w:id="20" w:name="lt_pId502"/>
      <w:r w:rsidRPr="00977945">
        <w:rPr>
          <w:lang w:val="pl-PL"/>
        </w:rPr>
        <w:t>(ii)</w:t>
      </w:r>
      <w:bookmarkEnd w:id="20"/>
      <w:r w:rsidR="000F46C5">
        <w:rPr>
          <w:lang w:val="pl-PL"/>
        </w:rPr>
        <w:t xml:space="preserve"> </w:t>
      </w:r>
      <w:bookmarkStart w:id="21" w:name="lt_pId503"/>
      <w:r w:rsidRPr="00977945">
        <w:rPr>
          <w:lang w:val="pl-PL"/>
        </w:rPr>
        <w:t>Skarżący</w:t>
      </w:r>
      <w:bookmarkEnd w:id="21"/>
    </w:p>
    <w:p w14:paraId="47E1E2DA" w14:textId="77777777" w:rsidR="009E53C0" w:rsidRPr="00977945" w:rsidRDefault="009E53C0" w:rsidP="000D30FE">
      <w:pPr>
        <w:pStyle w:val="ECHRPara"/>
        <w:rPr>
          <w:lang w:val="pl-PL"/>
        </w:rPr>
      </w:pPr>
      <w:r w:rsidRPr="00977945">
        <w:rPr>
          <w:lang w:val="pl-PL"/>
        </w:rPr>
        <w:t>52.</w:t>
      </w:r>
      <w:r>
        <w:rPr>
          <w:lang w:val="pl-PL"/>
        </w:rPr>
        <w:t xml:space="preserve"> </w:t>
      </w:r>
      <w:r w:rsidRPr="00977945">
        <w:rPr>
          <w:lang w:val="pl-PL"/>
        </w:rPr>
        <w:t>Skarżący podniósł, iż grzywna nałożona postanowieniem prokuratury z dnia 7 sierpnia 2008 r. miała charakter „karny” w rozumieniu art. 4 Protokołu nr 7.</w:t>
      </w:r>
    </w:p>
    <w:p w14:paraId="3FC8A840" w14:textId="77777777" w:rsidR="009E53C0" w:rsidRPr="00977945" w:rsidRDefault="009E53C0" w:rsidP="000D30FE">
      <w:pPr>
        <w:pStyle w:val="ECHRHeading4"/>
        <w:rPr>
          <w:lang w:val="pl-PL"/>
        </w:rPr>
      </w:pPr>
      <w:bookmarkStart w:id="22" w:name="lt_pId506"/>
      <w:r w:rsidRPr="00977945">
        <w:rPr>
          <w:lang w:val="pl-PL"/>
        </w:rPr>
        <w:t>b)</w:t>
      </w:r>
      <w:bookmarkEnd w:id="22"/>
      <w:r w:rsidRPr="00977945">
        <w:rPr>
          <w:lang w:val="pl-PL"/>
        </w:rPr>
        <w:t xml:space="preserve"> </w:t>
      </w:r>
      <w:bookmarkStart w:id="23" w:name="lt_pId507"/>
      <w:r w:rsidRPr="00977945">
        <w:rPr>
          <w:lang w:val="pl-PL"/>
        </w:rPr>
        <w:t>Ocena Trybunału</w:t>
      </w:r>
      <w:bookmarkEnd w:id="23"/>
    </w:p>
    <w:p w14:paraId="0FEB7E0A" w14:textId="52D8C755" w:rsidR="009E53C0" w:rsidRPr="00977945" w:rsidRDefault="009E53C0" w:rsidP="000D30FE">
      <w:pPr>
        <w:pStyle w:val="ECHRPara"/>
        <w:rPr>
          <w:lang w:val="pl-PL"/>
        </w:rPr>
      </w:pPr>
      <w:r w:rsidRPr="00977945">
        <w:rPr>
          <w:lang w:val="pl-PL"/>
        </w:rPr>
        <w:t>53.</w:t>
      </w:r>
      <w:r>
        <w:rPr>
          <w:lang w:val="pl-PL"/>
        </w:rPr>
        <w:t xml:space="preserve"> </w:t>
      </w:r>
      <w:r w:rsidRPr="00977945">
        <w:rPr>
          <w:lang w:val="pl-PL"/>
        </w:rPr>
        <w:t>Trybunał przypomina, że charakterystyka prawna procedury w</w:t>
      </w:r>
      <w:r w:rsidR="000F46C5">
        <w:rPr>
          <w:lang w:val="pl-PL"/>
        </w:rPr>
        <w:t xml:space="preserve"> </w:t>
      </w:r>
      <w:r w:rsidRPr="00977945">
        <w:rPr>
          <w:lang w:val="pl-PL"/>
        </w:rPr>
        <w:t xml:space="preserve">prawie krajowym nie może być jedynym kryterium istotności dla możliwości zastosowania zasady </w:t>
      </w:r>
      <w:r w:rsidRPr="00977945">
        <w:rPr>
          <w:i/>
          <w:iCs/>
          <w:lang w:val="pl-PL"/>
        </w:rPr>
        <w:t>ne bis in idem</w:t>
      </w:r>
      <w:r w:rsidRPr="00977945">
        <w:rPr>
          <w:lang w:val="pl-PL"/>
        </w:rPr>
        <w:t xml:space="preserve"> na podstawie art.</w:t>
      </w:r>
      <w:r w:rsidR="000F46C5">
        <w:rPr>
          <w:lang w:val="pl-PL"/>
        </w:rPr>
        <w:t xml:space="preserve"> </w:t>
      </w:r>
      <w:r w:rsidRPr="00977945">
        <w:rPr>
          <w:lang w:val="pl-PL"/>
        </w:rPr>
        <w:t>4</w:t>
      </w:r>
      <w:r w:rsidR="000F46C5">
        <w:rPr>
          <w:lang w:val="pl-PL"/>
        </w:rPr>
        <w:t xml:space="preserve"> </w:t>
      </w:r>
      <w:r w:rsidRPr="00977945">
        <w:rPr>
          <w:lang w:val="pl-PL"/>
        </w:rPr>
        <w:t>ust.</w:t>
      </w:r>
      <w:r w:rsidR="000F46C5">
        <w:rPr>
          <w:lang w:val="pl-PL"/>
        </w:rPr>
        <w:t xml:space="preserve"> </w:t>
      </w:r>
      <w:r w:rsidRPr="00977945">
        <w:rPr>
          <w:lang w:val="pl-PL"/>
        </w:rPr>
        <w:t>1</w:t>
      </w:r>
      <w:r w:rsidR="000F46C5">
        <w:rPr>
          <w:lang w:val="pl-PL"/>
        </w:rPr>
        <w:t xml:space="preserve"> </w:t>
      </w:r>
      <w:r w:rsidRPr="00977945">
        <w:rPr>
          <w:lang w:val="pl-PL"/>
        </w:rPr>
        <w:t>Protokołu nr 7.</w:t>
      </w:r>
    </w:p>
    <w:p w14:paraId="584EF07E" w14:textId="2B6E2D56" w:rsidR="009E53C0" w:rsidRPr="00977945" w:rsidRDefault="009E53C0" w:rsidP="000D30FE">
      <w:pPr>
        <w:pStyle w:val="ECHRPara"/>
        <w:rPr>
          <w:rFonts w:eastAsia="Times New Roman"/>
          <w:lang w:val="pl-PL"/>
        </w:rPr>
      </w:pPr>
      <w:r w:rsidRPr="00977945">
        <w:rPr>
          <w:rFonts w:eastAsia="Times New Roman"/>
          <w:lang w:val="pl-PL"/>
        </w:rPr>
        <w:t>54.</w:t>
      </w:r>
      <w:bookmarkStart w:id="24" w:name="lt_pId512"/>
      <w:r>
        <w:rPr>
          <w:rFonts w:eastAsia="Times New Roman"/>
          <w:lang w:val="pl-PL"/>
        </w:rPr>
        <w:t xml:space="preserve"> </w:t>
      </w:r>
      <w:r w:rsidRPr="00977945">
        <w:rPr>
          <w:rFonts w:eastAsia="Times New Roman"/>
          <w:lang w:val="pl-PL"/>
        </w:rPr>
        <w:t>Trybunał przypomina, że pojęcie „oskarżenia</w:t>
      </w:r>
      <w:r w:rsidR="00F11CBD">
        <w:rPr>
          <w:rFonts w:eastAsia="Times New Roman"/>
          <w:lang w:val="pl-PL"/>
        </w:rPr>
        <w:t xml:space="preserve"> w sprawie karnej</w:t>
      </w:r>
      <w:r w:rsidRPr="00977945">
        <w:rPr>
          <w:rFonts w:eastAsia="Times New Roman"/>
          <w:lang w:val="pl-PL"/>
        </w:rPr>
        <w:t>” w</w:t>
      </w:r>
      <w:r w:rsidR="00A56092">
        <w:rPr>
          <w:rFonts w:eastAsia="Times New Roman"/>
          <w:lang w:val="pl-PL"/>
        </w:rPr>
        <w:t> </w:t>
      </w:r>
      <w:r w:rsidRPr="00977945">
        <w:rPr>
          <w:rFonts w:eastAsia="Times New Roman"/>
          <w:lang w:val="pl-PL"/>
        </w:rPr>
        <w:t>rozumieniu art.</w:t>
      </w:r>
      <w:r w:rsidR="000F46C5">
        <w:rPr>
          <w:rFonts w:eastAsia="Times New Roman"/>
          <w:lang w:val="pl-PL"/>
        </w:rPr>
        <w:t xml:space="preserve"> </w:t>
      </w:r>
      <w:r w:rsidRPr="00977945">
        <w:rPr>
          <w:rFonts w:eastAsia="Times New Roman"/>
          <w:lang w:val="pl-PL"/>
        </w:rPr>
        <w:t>6</w:t>
      </w:r>
      <w:r w:rsidR="000F46C5">
        <w:rPr>
          <w:rFonts w:eastAsia="Times New Roman"/>
          <w:lang w:val="pl-PL"/>
        </w:rPr>
        <w:t xml:space="preserve"> </w:t>
      </w:r>
      <w:r w:rsidRPr="00977945">
        <w:rPr>
          <w:rFonts w:eastAsia="Times New Roman"/>
          <w:lang w:val="pl-PL"/>
        </w:rPr>
        <w:t>ust.</w:t>
      </w:r>
      <w:r w:rsidR="000F46C5">
        <w:rPr>
          <w:rFonts w:eastAsia="Times New Roman"/>
          <w:lang w:val="pl-PL"/>
        </w:rPr>
        <w:t xml:space="preserve"> </w:t>
      </w:r>
      <w:r w:rsidRPr="00977945">
        <w:rPr>
          <w:rFonts w:eastAsia="Times New Roman"/>
          <w:lang w:val="pl-PL"/>
        </w:rPr>
        <w:t xml:space="preserve">1 ma charakter autonomiczny. Utrwalone orzecznictwo Trybunału określa trzy kryteria, powszechnie znane jako „kryteria </w:t>
      </w:r>
      <w:r w:rsidR="00F11CBD">
        <w:rPr>
          <w:rFonts w:eastAsia="Times New Roman"/>
          <w:lang w:val="pl-PL"/>
        </w:rPr>
        <w:t xml:space="preserve">ze sprawy </w:t>
      </w:r>
      <w:r w:rsidR="00F11CBD">
        <w:rPr>
          <w:rFonts w:eastAsia="Times New Roman"/>
          <w:i/>
          <w:lang w:val="pl-PL"/>
        </w:rPr>
        <w:t>Engel</w:t>
      </w:r>
      <w:r w:rsidRPr="00977945">
        <w:rPr>
          <w:rFonts w:eastAsia="Times New Roman"/>
          <w:lang w:val="pl-PL"/>
        </w:rPr>
        <w:t>”, które należy rozważyć przy ustalaniu, czy</w:t>
      </w:r>
      <w:r w:rsidR="00A56092">
        <w:rPr>
          <w:rFonts w:eastAsia="Times New Roman"/>
          <w:lang w:val="pl-PL"/>
        </w:rPr>
        <w:t> </w:t>
      </w:r>
      <w:r w:rsidRPr="00977945">
        <w:rPr>
          <w:rFonts w:eastAsia="Times New Roman"/>
          <w:lang w:val="pl-PL"/>
        </w:rPr>
        <w:t>istniało „oskarżenie</w:t>
      </w:r>
      <w:r w:rsidR="00F11CBD">
        <w:rPr>
          <w:rFonts w:eastAsia="Times New Roman"/>
          <w:lang w:val="pl-PL"/>
        </w:rPr>
        <w:t xml:space="preserve"> w sprawie karnej</w:t>
      </w:r>
      <w:r w:rsidRPr="00977945">
        <w:rPr>
          <w:rFonts w:eastAsia="Times New Roman"/>
          <w:lang w:val="pl-PL"/>
        </w:rPr>
        <w:t>” (</w:t>
      </w:r>
      <w:bookmarkStart w:id="25" w:name="File5"/>
      <w:r w:rsidRPr="00977945">
        <w:rPr>
          <w:rFonts w:eastAsia="Times New Roman"/>
          <w:lang w:val="pl-PL"/>
        </w:rPr>
        <w:t xml:space="preserve">zob. </w:t>
      </w:r>
      <w:r w:rsidRPr="00977945">
        <w:rPr>
          <w:rFonts w:eastAsia="Times New Roman"/>
          <w:i/>
          <w:iCs/>
          <w:lang w:val="pl-PL"/>
        </w:rPr>
        <w:t>Engel</w:t>
      </w:r>
      <w:bookmarkEnd w:id="25"/>
      <w:r w:rsidRPr="00977945">
        <w:rPr>
          <w:rFonts w:eastAsia="Times New Roman"/>
          <w:i/>
          <w:iCs/>
          <w:lang w:val="pl-PL"/>
        </w:rPr>
        <w:t xml:space="preserve"> i Inni przeciwko Niderlandom</w:t>
      </w:r>
      <w:r w:rsidRPr="00977945">
        <w:rPr>
          <w:rFonts w:eastAsia="Times New Roman"/>
          <w:lang w:val="pl-PL"/>
        </w:rPr>
        <w:t>, 8</w:t>
      </w:r>
      <w:r w:rsidR="000F46C5">
        <w:rPr>
          <w:rFonts w:eastAsia="Times New Roman"/>
          <w:lang w:val="pl-PL"/>
        </w:rPr>
        <w:t xml:space="preserve"> </w:t>
      </w:r>
      <w:r w:rsidRPr="00977945">
        <w:rPr>
          <w:rFonts w:eastAsia="Times New Roman"/>
          <w:lang w:val="pl-PL"/>
        </w:rPr>
        <w:t>czerwca 1976</w:t>
      </w:r>
      <w:r w:rsidR="000F46C5">
        <w:rPr>
          <w:rFonts w:eastAsia="Times New Roman"/>
          <w:lang w:val="pl-PL"/>
        </w:rPr>
        <w:t xml:space="preserve"> </w:t>
      </w:r>
      <w:r w:rsidRPr="00977945">
        <w:rPr>
          <w:rFonts w:eastAsia="Times New Roman"/>
          <w:lang w:val="pl-PL"/>
        </w:rPr>
        <w:t>r., §</w:t>
      </w:r>
      <w:r w:rsidR="000F46C5">
        <w:rPr>
          <w:rFonts w:eastAsia="Times New Roman"/>
          <w:lang w:val="pl-PL"/>
        </w:rPr>
        <w:t xml:space="preserve"> </w:t>
      </w:r>
      <w:r w:rsidRPr="00977945">
        <w:rPr>
          <w:rFonts w:eastAsia="Times New Roman"/>
          <w:lang w:val="pl-PL"/>
        </w:rPr>
        <w:t>82, Seria A nr</w:t>
      </w:r>
      <w:r w:rsidR="000F46C5">
        <w:rPr>
          <w:rFonts w:eastAsia="Times New Roman"/>
          <w:lang w:val="pl-PL"/>
        </w:rPr>
        <w:t xml:space="preserve"> </w:t>
      </w:r>
      <w:r w:rsidRPr="00977945">
        <w:rPr>
          <w:rFonts w:eastAsia="Times New Roman"/>
          <w:lang w:val="pl-PL"/>
        </w:rPr>
        <w:t xml:space="preserve">22; </w:t>
      </w:r>
      <w:r w:rsidRPr="00977945">
        <w:rPr>
          <w:rFonts w:eastAsia="Times New Roman"/>
          <w:i/>
          <w:iCs/>
          <w:lang w:val="pl-PL"/>
        </w:rPr>
        <w:t xml:space="preserve">A i B przeciwko Norwegii </w:t>
      </w:r>
      <w:r w:rsidRPr="00977945">
        <w:rPr>
          <w:rFonts w:eastAsia="Times New Roman"/>
          <w:lang w:val="pl-PL"/>
        </w:rPr>
        <w:t>[WI], nr 24130/11 i 29758/11, § 107, 15</w:t>
      </w:r>
      <w:r w:rsidR="000F46C5">
        <w:rPr>
          <w:rFonts w:eastAsia="Times New Roman"/>
          <w:lang w:val="pl-PL"/>
        </w:rPr>
        <w:t xml:space="preserve"> </w:t>
      </w:r>
      <w:r w:rsidRPr="00977945">
        <w:rPr>
          <w:rFonts w:eastAsia="Times New Roman"/>
          <w:lang w:val="pl-PL"/>
        </w:rPr>
        <w:t>listopada 2016 r.; oraz</w:t>
      </w:r>
      <w:r w:rsidR="00A56092">
        <w:rPr>
          <w:rFonts w:eastAsia="Times New Roman"/>
          <w:lang w:val="pl-PL"/>
        </w:rPr>
        <w:t> </w:t>
      </w:r>
      <w:r w:rsidRPr="00977945">
        <w:rPr>
          <w:rFonts w:eastAsia="Times New Roman"/>
          <w:i/>
          <w:iCs/>
          <w:lang w:val="pl-PL"/>
        </w:rPr>
        <w:t>Ramos Nunes de Carvalho e Sá przeciwko Portugalii</w:t>
      </w:r>
      <w:r w:rsidRPr="00977945">
        <w:rPr>
          <w:rFonts w:eastAsia="Times New Roman"/>
          <w:lang w:val="pl-PL"/>
        </w:rPr>
        <w:t xml:space="preserve"> [WI], nr</w:t>
      </w:r>
      <w:r w:rsidR="000F46C5">
        <w:rPr>
          <w:rFonts w:eastAsia="Times New Roman"/>
          <w:lang w:val="pl-PL"/>
        </w:rPr>
        <w:t xml:space="preserve"> </w:t>
      </w:r>
      <w:r w:rsidRPr="00977945">
        <w:rPr>
          <w:rFonts w:eastAsia="Times New Roman"/>
          <w:lang w:val="pl-PL"/>
        </w:rPr>
        <w:t>55391/13 i 2</w:t>
      </w:r>
      <w:r w:rsidR="000F46C5">
        <w:rPr>
          <w:rFonts w:eastAsia="Times New Roman"/>
          <w:lang w:val="pl-PL"/>
        </w:rPr>
        <w:t xml:space="preserve"> </w:t>
      </w:r>
      <w:r w:rsidRPr="00977945">
        <w:rPr>
          <w:rFonts w:eastAsia="Times New Roman"/>
          <w:lang w:val="pl-PL"/>
        </w:rPr>
        <w:t>inne, § 122, 6 listopada 2018 r.).</w:t>
      </w:r>
      <w:bookmarkEnd w:id="24"/>
      <w:r>
        <w:rPr>
          <w:rFonts w:eastAsia="Times New Roman"/>
          <w:lang w:val="pl-PL"/>
        </w:rPr>
        <w:t xml:space="preserve"> </w:t>
      </w:r>
      <w:r w:rsidRPr="00977945">
        <w:rPr>
          <w:rFonts w:eastAsia="Times New Roman"/>
          <w:lang w:val="pl-PL"/>
        </w:rPr>
        <w:t>Pierwszym kryterium jest kwalifikacja prawna przestępstwa w prawie krajowym, drugim – sam charakter przestępstwa, a trzecim – dotkliwość kary, na jaką narażona jest dana osoba. Kryterium drugie i trzecie mają charakter alternatywny, a</w:t>
      </w:r>
      <w:r w:rsidR="000F46C5">
        <w:rPr>
          <w:rFonts w:eastAsia="Times New Roman"/>
          <w:lang w:val="pl-PL"/>
        </w:rPr>
        <w:t xml:space="preserve"> </w:t>
      </w:r>
      <w:r w:rsidRPr="00977945">
        <w:rPr>
          <w:rFonts w:eastAsia="Times New Roman"/>
          <w:lang w:val="pl-PL"/>
        </w:rPr>
        <w:t xml:space="preserve">niekoniecznie kumulatywny. </w:t>
      </w:r>
      <w:bookmarkStart w:id="26" w:name="lt_pId515"/>
      <w:r w:rsidRPr="00977945">
        <w:rPr>
          <w:rFonts w:eastAsia="Times New Roman"/>
          <w:lang w:val="pl-PL"/>
        </w:rPr>
        <w:t>Nie wyklucza to jednak podejścia kumulatywnego, w sytuacji gdy odrębna analiza każdego z kryteriów nie pozwala na wyciągnięcie jasnego wniosku co do istnienia „oskarżenia</w:t>
      </w:r>
      <w:r w:rsidR="00F11CBD">
        <w:rPr>
          <w:rFonts w:eastAsia="Times New Roman"/>
          <w:lang w:val="pl-PL"/>
        </w:rPr>
        <w:t xml:space="preserve"> w sprawie karnej</w:t>
      </w:r>
      <w:r w:rsidRPr="00977945">
        <w:rPr>
          <w:rFonts w:eastAsia="Times New Roman"/>
          <w:lang w:val="pl-PL"/>
        </w:rPr>
        <w:t>” (zob.</w:t>
      </w:r>
      <w:r w:rsidR="000F46C5">
        <w:rPr>
          <w:rFonts w:eastAsia="Times New Roman"/>
          <w:lang w:val="pl-PL"/>
        </w:rPr>
        <w:t xml:space="preserve"> </w:t>
      </w:r>
      <w:r w:rsidRPr="00977945">
        <w:rPr>
          <w:rFonts w:eastAsia="Times New Roman"/>
          <w:i/>
          <w:iCs/>
          <w:lang w:val="pl-PL"/>
        </w:rPr>
        <w:t>Sergey Zolotukhin</w:t>
      </w:r>
      <w:r w:rsidRPr="00977945">
        <w:rPr>
          <w:rFonts w:eastAsia="Times New Roman"/>
          <w:lang w:val="pl-PL"/>
        </w:rPr>
        <w:t xml:space="preserve">, </w:t>
      </w:r>
      <w:r w:rsidRPr="00977945">
        <w:rPr>
          <w:rFonts w:eastAsia="Times New Roman"/>
          <w:i/>
          <w:iCs/>
          <w:lang w:val="pl-PL"/>
        </w:rPr>
        <w:t>op.</w:t>
      </w:r>
      <w:r>
        <w:rPr>
          <w:rFonts w:eastAsia="Times New Roman"/>
          <w:i/>
          <w:iCs/>
          <w:lang w:val="pl-PL"/>
        </w:rPr>
        <w:t xml:space="preserve"> </w:t>
      </w:r>
      <w:r w:rsidRPr="00977945">
        <w:rPr>
          <w:rFonts w:eastAsia="Times New Roman"/>
          <w:i/>
          <w:iCs/>
          <w:lang w:val="pl-PL"/>
        </w:rPr>
        <w:t>cit.</w:t>
      </w:r>
      <w:r w:rsidRPr="00977945">
        <w:rPr>
          <w:rFonts w:eastAsia="Times New Roman"/>
          <w:lang w:val="pl-PL"/>
        </w:rPr>
        <w:t xml:space="preserve">, § 53, oraz </w:t>
      </w:r>
      <w:r w:rsidRPr="00977945">
        <w:rPr>
          <w:rFonts w:eastAsia="Times New Roman"/>
          <w:i/>
          <w:iCs/>
          <w:lang w:val="pl-PL"/>
        </w:rPr>
        <w:t>A i B przeciwko Norwegii, op.</w:t>
      </w:r>
      <w:r>
        <w:rPr>
          <w:rFonts w:eastAsia="Times New Roman"/>
          <w:i/>
          <w:iCs/>
          <w:lang w:val="pl-PL"/>
        </w:rPr>
        <w:t xml:space="preserve"> </w:t>
      </w:r>
      <w:r w:rsidRPr="00977945">
        <w:rPr>
          <w:rFonts w:eastAsia="Times New Roman"/>
          <w:i/>
          <w:iCs/>
          <w:lang w:val="pl-PL"/>
        </w:rPr>
        <w:t>cit.</w:t>
      </w:r>
      <w:r w:rsidRPr="00977945">
        <w:rPr>
          <w:rFonts w:eastAsia="Times New Roman"/>
          <w:lang w:val="pl-PL"/>
        </w:rPr>
        <w:t>, § 105; zob.</w:t>
      </w:r>
      <w:r w:rsidR="00A56092">
        <w:rPr>
          <w:rFonts w:eastAsia="Times New Roman"/>
          <w:lang w:val="pl-PL"/>
        </w:rPr>
        <w:t> </w:t>
      </w:r>
      <w:r w:rsidRPr="00977945">
        <w:rPr>
          <w:rFonts w:eastAsia="Times New Roman"/>
          <w:lang w:val="pl-PL"/>
        </w:rPr>
        <w:t xml:space="preserve">też </w:t>
      </w:r>
      <w:r w:rsidRPr="00977945">
        <w:rPr>
          <w:rFonts w:eastAsia="Times New Roman"/>
          <w:i/>
          <w:iCs/>
          <w:lang w:val="pl-PL"/>
        </w:rPr>
        <w:t>Escoubet przeciwko Belgii</w:t>
      </w:r>
      <w:r w:rsidRPr="00977945">
        <w:rPr>
          <w:rFonts w:eastAsia="Times New Roman"/>
          <w:lang w:val="pl-PL"/>
        </w:rPr>
        <w:t xml:space="preserve"> [WI], nr 26780/95, §</w:t>
      </w:r>
      <w:r w:rsidR="000F46C5">
        <w:rPr>
          <w:rFonts w:eastAsia="Times New Roman"/>
          <w:lang w:val="pl-PL"/>
        </w:rPr>
        <w:t xml:space="preserve"> </w:t>
      </w:r>
      <w:r w:rsidRPr="00977945">
        <w:rPr>
          <w:rFonts w:eastAsia="Times New Roman"/>
          <w:lang w:val="pl-PL"/>
        </w:rPr>
        <w:t xml:space="preserve">32, </w:t>
      </w:r>
      <w:r w:rsidR="000F46C5">
        <w:rPr>
          <w:rFonts w:eastAsia="Times New Roman"/>
          <w:lang w:val="pl-PL"/>
        </w:rPr>
        <w:t>ETPC</w:t>
      </w:r>
      <w:r w:rsidRPr="00977945">
        <w:rPr>
          <w:rFonts w:eastAsia="Times New Roman"/>
          <w:lang w:val="pl-PL"/>
        </w:rPr>
        <w:t xml:space="preserve"> 1999</w:t>
      </w:r>
      <w:r w:rsidRPr="00977945">
        <w:rPr>
          <w:rFonts w:eastAsia="Times New Roman"/>
          <w:lang w:val="pl-PL"/>
        </w:rPr>
        <w:noBreakHyphen/>
        <w:t>VII).</w:t>
      </w:r>
    </w:p>
    <w:bookmarkEnd w:id="26"/>
    <w:p w14:paraId="676CE7B7" w14:textId="13528F10" w:rsidR="009E53C0" w:rsidRPr="00977945" w:rsidRDefault="009E53C0" w:rsidP="000D30FE">
      <w:pPr>
        <w:pStyle w:val="ECHRPara"/>
        <w:rPr>
          <w:lang w:val="pl-PL"/>
        </w:rPr>
      </w:pPr>
      <w:r w:rsidRPr="00977945">
        <w:rPr>
          <w:rFonts w:eastAsia="Times New Roman"/>
          <w:lang w:val="pl-PL"/>
        </w:rPr>
        <w:t>55.</w:t>
      </w:r>
      <w:bookmarkStart w:id="27" w:name="lt_pId517"/>
      <w:r>
        <w:rPr>
          <w:rFonts w:eastAsia="Times New Roman"/>
          <w:lang w:val="pl-PL"/>
        </w:rPr>
        <w:t xml:space="preserve"> </w:t>
      </w:r>
      <w:r w:rsidRPr="00977945">
        <w:rPr>
          <w:rFonts w:eastAsia="Times New Roman"/>
          <w:lang w:val="pl-PL"/>
        </w:rPr>
        <w:t xml:space="preserve">Trybunał zbada poniżej, czy zgodnie z wyżej wymienionymi kryteriami </w:t>
      </w:r>
      <w:r w:rsidR="00F11CBD">
        <w:rPr>
          <w:rFonts w:eastAsia="Times New Roman"/>
          <w:lang w:val="pl-PL"/>
        </w:rPr>
        <w:t xml:space="preserve">ze sprawy </w:t>
      </w:r>
      <w:r w:rsidRPr="00017896">
        <w:rPr>
          <w:rFonts w:eastAsia="Times New Roman"/>
          <w:i/>
          <w:lang w:val="pl-PL"/>
        </w:rPr>
        <w:t>Engel</w:t>
      </w:r>
      <w:r w:rsidRPr="00977945">
        <w:rPr>
          <w:rFonts w:eastAsia="Times New Roman"/>
          <w:lang w:val="pl-PL"/>
        </w:rPr>
        <w:t xml:space="preserve">, nałożenie na skarżącego grzywny </w:t>
      </w:r>
      <w:r w:rsidRPr="00977945">
        <w:rPr>
          <w:rFonts w:eastAsia="Times New Roman"/>
          <w:lang w:val="pl-PL"/>
        </w:rPr>
        <w:lastRenderedPageBreak/>
        <w:t>administracyjnej za przestępstwo, o które został oskarżony, mieści się w</w:t>
      </w:r>
      <w:r w:rsidR="00A56092">
        <w:rPr>
          <w:rFonts w:eastAsia="Times New Roman"/>
          <w:lang w:val="pl-PL"/>
        </w:rPr>
        <w:t> </w:t>
      </w:r>
      <w:r w:rsidRPr="00977945">
        <w:rPr>
          <w:rFonts w:eastAsia="Times New Roman"/>
          <w:lang w:val="pl-PL"/>
        </w:rPr>
        <w:t>pojęciu „postępowania karnego”.</w:t>
      </w:r>
      <w:bookmarkEnd w:id="27"/>
    </w:p>
    <w:p w14:paraId="58023E6E" w14:textId="77777777" w:rsidR="009E53C0" w:rsidRPr="00977945" w:rsidRDefault="009E53C0" w:rsidP="000D30FE">
      <w:pPr>
        <w:pStyle w:val="ECHRHeading5"/>
        <w:rPr>
          <w:rFonts w:eastAsia="Times New Roman"/>
          <w:lang w:val="pl-PL"/>
        </w:rPr>
      </w:pPr>
      <w:bookmarkStart w:id="28" w:name="lt_pId518"/>
      <w:r w:rsidRPr="00977945">
        <w:rPr>
          <w:rFonts w:eastAsia="Times New Roman"/>
          <w:lang w:val="pl-PL"/>
        </w:rPr>
        <w:t>(i)</w:t>
      </w:r>
      <w:bookmarkStart w:id="29" w:name="lt_pId519"/>
      <w:bookmarkEnd w:id="28"/>
      <w:r>
        <w:rPr>
          <w:rFonts w:eastAsia="Times New Roman"/>
          <w:lang w:val="pl-PL"/>
        </w:rPr>
        <w:t xml:space="preserve"> </w:t>
      </w:r>
      <w:r w:rsidRPr="00977945">
        <w:rPr>
          <w:rFonts w:eastAsia="Times New Roman"/>
          <w:lang w:val="pl-PL"/>
        </w:rPr>
        <w:t>Charakterystyka prawna przestępstwa w świetle prawa krajowego</w:t>
      </w:r>
      <w:bookmarkEnd w:id="29"/>
    </w:p>
    <w:p w14:paraId="6921F1D4" w14:textId="4E58957A" w:rsidR="009E53C0" w:rsidRPr="00977945" w:rsidRDefault="009E53C0" w:rsidP="000D30FE">
      <w:pPr>
        <w:pStyle w:val="ECHRPara"/>
        <w:rPr>
          <w:rFonts w:eastAsia="Times New Roman"/>
          <w:lang w:val="pl-PL"/>
        </w:rPr>
      </w:pPr>
      <w:r w:rsidRPr="00977945">
        <w:rPr>
          <w:rFonts w:eastAsia="Times New Roman"/>
          <w:lang w:val="pl-PL"/>
        </w:rPr>
        <w:t>56.</w:t>
      </w:r>
      <w:bookmarkStart w:id="30" w:name="lt_pId521"/>
      <w:r>
        <w:rPr>
          <w:rFonts w:eastAsia="Times New Roman"/>
          <w:lang w:val="pl-PL"/>
        </w:rPr>
        <w:t xml:space="preserve"> </w:t>
      </w:r>
      <w:r w:rsidRPr="00977945">
        <w:rPr>
          <w:rFonts w:eastAsia="Times New Roman"/>
          <w:lang w:val="pl-PL"/>
        </w:rPr>
        <w:t>Trybunał zauważa, że czyn, za który skarżący był ścigany, tj. jego odmowa udostępnienia próbki materiału biologicznego w celu ustalenia poziomu zawartości alkoholu we krwi, był karalny na podstawie art. 87 § 5 rozporządzenia nr</w:t>
      </w:r>
      <w:r w:rsidR="000F46C5">
        <w:rPr>
          <w:rFonts w:eastAsia="Times New Roman"/>
          <w:lang w:val="pl-PL"/>
        </w:rPr>
        <w:t xml:space="preserve"> </w:t>
      </w:r>
      <w:r w:rsidRPr="00977945">
        <w:rPr>
          <w:rFonts w:eastAsia="Times New Roman"/>
          <w:lang w:val="pl-PL"/>
        </w:rPr>
        <w:t>195/2002, jak określono w części dotyczącej „wykroczeń i kar”, oraz że mogły one stanowić podstawę do wymierzenia kary pozbawienia wolności.</w:t>
      </w:r>
      <w:bookmarkEnd w:id="30"/>
      <w:r w:rsidRPr="00977945">
        <w:rPr>
          <w:rFonts w:eastAsia="Times New Roman"/>
          <w:lang w:val="pl-PL"/>
        </w:rPr>
        <w:t xml:space="preserve"> Obie strony uznały, że te przepisy stanowią część rumuńskiego prawa karnego.</w:t>
      </w:r>
    </w:p>
    <w:p w14:paraId="5647331F" w14:textId="2572129B" w:rsidR="009E53C0" w:rsidRPr="00977945" w:rsidRDefault="009E53C0" w:rsidP="000D30FE">
      <w:pPr>
        <w:pStyle w:val="ECHRPara"/>
        <w:rPr>
          <w:rFonts w:eastAsia="Times New Roman"/>
          <w:lang w:val="pl-PL"/>
        </w:rPr>
      </w:pPr>
      <w:r w:rsidRPr="00977945">
        <w:rPr>
          <w:rFonts w:eastAsia="Times New Roman"/>
          <w:lang w:val="pl-PL"/>
        </w:rPr>
        <w:t>57.</w:t>
      </w:r>
      <w:bookmarkStart w:id="31" w:name="lt_pId524"/>
      <w:r>
        <w:rPr>
          <w:rFonts w:eastAsia="Times New Roman"/>
          <w:lang w:val="pl-PL"/>
        </w:rPr>
        <w:t xml:space="preserve"> </w:t>
      </w:r>
      <w:r w:rsidRPr="00977945">
        <w:rPr>
          <w:rFonts w:eastAsia="Times New Roman"/>
          <w:lang w:val="pl-PL"/>
        </w:rPr>
        <w:t>Trybunał zauważa ponadto zastosowanie w niniejszej sprawie art.</w:t>
      </w:r>
      <w:r w:rsidR="000F46C5">
        <w:rPr>
          <w:rFonts w:eastAsia="Times New Roman"/>
          <w:lang w:val="pl-PL"/>
        </w:rPr>
        <w:t xml:space="preserve"> </w:t>
      </w:r>
      <w:r w:rsidRPr="00977945">
        <w:rPr>
          <w:rFonts w:eastAsia="Times New Roman"/>
          <w:lang w:val="pl-PL"/>
        </w:rPr>
        <w:t>18</w:t>
      </w:r>
      <w:r w:rsidRPr="00977945">
        <w:rPr>
          <w:rFonts w:eastAsia="Times New Roman"/>
          <w:vertAlign w:val="superscript"/>
          <w:lang w:val="pl-PL"/>
        </w:rPr>
        <w:t>1</w:t>
      </w:r>
      <w:r w:rsidRPr="00977945">
        <w:rPr>
          <w:rFonts w:eastAsia="Times New Roman"/>
          <w:lang w:val="pl-PL"/>
        </w:rPr>
        <w:t xml:space="preserve"> </w:t>
      </w:r>
      <w:r w:rsidR="000F46C5" w:rsidRPr="00977945">
        <w:rPr>
          <w:rFonts w:eastAsia="Times New Roman"/>
          <w:lang w:val="pl-PL"/>
        </w:rPr>
        <w:t xml:space="preserve">Kodeksu </w:t>
      </w:r>
      <w:r w:rsidRPr="00977945">
        <w:rPr>
          <w:rFonts w:eastAsia="Times New Roman"/>
          <w:lang w:val="pl-PL"/>
        </w:rPr>
        <w:t>karnego, który stanowi, że czyn podlegający prawu karnemu nie</w:t>
      </w:r>
      <w:r w:rsidR="00A56092">
        <w:rPr>
          <w:rFonts w:eastAsia="Times New Roman"/>
          <w:lang w:val="pl-PL"/>
        </w:rPr>
        <w:t> </w:t>
      </w:r>
      <w:r w:rsidRPr="00977945">
        <w:rPr>
          <w:rFonts w:eastAsia="Times New Roman"/>
          <w:lang w:val="pl-PL"/>
        </w:rPr>
        <w:t>stanowi przestępstwa, jeżeli nie osiągnął wymaganego poziomu wagi, ze</w:t>
      </w:r>
      <w:r w:rsidR="00A56092">
        <w:rPr>
          <w:rFonts w:eastAsia="Times New Roman"/>
          <w:lang w:val="pl-PL"/>
        </w:rPr>
        <w:t> </w:t>
      </w:r>
      <w:r w:rsidRPr="00977945">
        <w:rPr>
          <w:rFonts w:eastAsia="Times New Roman"/>
          <w:lang w:val="pl-PL"/>
        </w:rPr>
        <w:t>względu na minimalną ingerencję w jedną z wartości chronionych przez prawo karne, oraz jego konkretną zawartość (zob. paragraf 33 powyżej).</w:t>
      </w:r>
      <w:bookmarkEnd w:id="31"/>
      <w:r w:rsidRPr="00977945">
        <w:rPr>
          <w:rFonts w:eastAsia="Times New Roman"/>
          <w:lang w:val="pl-PL"/>
        </w:rPr>
        <w:t xml:space="preserve"> W</w:t>
      </w:r>
      <w:r w:rsidR="00A56092">
        <w:rPr>
          <w:rFonts w:eastAsia="Times New Roman"/>
          <w:lang w:val="pl-PL"/>
        </w:rPr>
        <w:t> </w:t>
      </w:r>
      <w:r w:rsidRPr="00977945">
        <w:rPr>
          <w:rFonts w:eastAsia="Times New Roman"/>
          <w:lang w:val="pl-PL"/>
        </w:rPr>
        <w:t xml:space="preserve">takich okolicznościach prokurator mógł zdecydować o umorzeniu postępowania i zamiast wymierzenia kary przewidzianej w definicji przestępstwa, o które oskarżono daną osobę, wymierzyć inną karę, która również była przewidziana w </w:t>
      </w:r>
      <w:r w:rsidR="000F46C5" w:rsidRPr="00977945">
        <w:rPr>
          <w:rFonts w:eastAsia="Times New Roman"/>
          <w:lang w:val="pl-PL"/>
        </w:rPr>
        <w:t xml:space="preserve">Kodeksie </w:t>
      </w:r>
      <w:r w:rsidRPr="00977945">
        <w:rPr>
          <w:rFonts w:eastAsia="Times New Roman"/>
          <w:lang w:val="pl-PL"/>
        </w:rPr>
        <w:t>karnym, ale została w nim określona jako „administracyjna”.</w:t>
      </w:r>
    </w:p>
    <w:p w14:paraId="048115B1" w14:textId="38E628DF" w:rsidR="009E53C0" w:rsidRPr="00977945" w:rsidRDefault="009E53C0" w:rsidP="000D30FE">
      <w:pPr>
        <w:pStyle w:val="ECHRPara"/>
        <w:rPr>
          <w:rFonts w:eastAsia="Times New Roman"/>
          <w:i/>
          <w:iCs/>
          <w:lang w:val="pl-PL"/>
        </w:rPr>
      </w:pPr>
      <w:r w:rsidRPr="00977945">
        <w:rPr>
          <w:lang w:val="pl-PL"/>
        </w:rPr>
        <w:t>58.</w:t>
      </w:r>
      <w:bookmarkStart w:id="32" w:name="lt_pId527"/>
      <w:r>
        <w:rPr>
          <w:lang w:val="pl-PL"/>
        </w:rPr>
        <w:t xml:space="preserve"> </w:t>
      </w:r>
      <w:r w:rsidRPr="00977945">
        <w:rPr>
          <w:lang w:val="pl-PL"/>
        </w:rPr>
        <w:t>W niniejszej sprawie, postanowieniem z dnia 7 sierpnia 2008 r. prokuratura umorzyła postępowanie przeciwko skarżącemu, stwierdzając, że</w:t>
      </w:r>
      <w:r w:rsidR="00A56092">
        <w:rPr>
          <w:lang w:val="pl-PL"/>
        </w:rPr>
        <w:t> </w:t>
      </w:r>
      <w:r w:rsidRPr="00977945">
        <w:rPr>
          <w:lang w:val="pl-PL"/>
        </w:rPr>
        <w:t>jego czyny podlegały wprawdzie przepisom prawa karnego, ale</w:t>
      </w:r>
      <w:r w:rsidR="00A56092">
        <w:rPr>
          <w:lang w:val="pl-PL"/>
        </w:rPr>
        <w:t> </w:t>
      </w:r>
      <w:r w:rsidRPr="00977945">
        <w:rPr>
          <w:lang w:val="pl-PL"/>
        </w:rPr>
        <w:t>nie</w:t>
      </w:r>
      <w:r w:rsidR="00A56092">
        <w:rPr>
          <w:lang w:val="pl-PL"/>
        </w:rPr>
        <w:t> </w:t>
      </w:r>
      <w:r w:rsidRPr="00977945">
        <w:rPr>
          <w:lang w:val="pl-PL"/>
        </w:rPr>
        <w:t>stanowiły przestępstwa</w:t>
      </w:r>
      <w:r w:rsidR="00C37377">
        <w:rPr>
          <w:lang w:val="pl-PL"/>
        </w:rPr>
        <w:t>,</w:t>
      </w:r>
      <w:r w:rsidRPr="00977945">
        <w:rPr>
          <w:lang w:val="pl-PL"/>
        </w:rPr>
        <w:t xml:space="preserve"> i nałożyła na niego karę administracyjną.</w:t>
      </w:r>
      <w:bookmarkEnd w:id="32"/>
      <w:r w:rsidRPr="00977945">
        <w:rPr>
          <w:lang w:val="pl-PL"/>
        </w:rPr>
        <w:t xml:space="preserve"> </w:t>
      </w:r>
      <w:bookmarkStart w:id="33" w:name="lt_pId528"/>
      <w:r w:rsidRPr="00977945">
        <w:rPr>
          <w:lang w:val="pl-PL"/>
        </w:rPr>
        <w:t>Tak</w:t>
      </w:r>
      <w:r w:rsidR="00A56092">
        <w:rPr>
          <w:lang w:val="pl-PL"/>
        </w:rPr>
        <w:t> </w:t>
      </w:r>
      <w:r w:rsidRPr="00977945">
        <w:rPr>
          <w:lang w:val="pl-PL"/>
        </w:rPr>
        <w:t xml:space="preserve">czy inaczej, charakterystyka w prawie krajowym jest jedynie punktem wyjścia, a </w:t>
      </w:r>
      <w:r w:rsidRPr="00977945">
        <w:rPr>
          <w:color w:val="000000"/>
          <w:lang w:val="pl-PL"/>
        </w:rPr>
        <w:t>wskazówki udzielone w ten sposób mają jedynie wartość formalną i</w:t>
      </w:r>
      <w:r w:rsidR="000F46C5">
        <w:rPr>
          <w:color w:val="000000"/>
          <w:lang w:val="pl-PL"/>
        </w:rPr>
        <w:t xml:space="preserve"> </w:t>
      </w:r>
      <w:r w:rsidRPr="00977945">
        <w:rPr>
          <w:color w:val="000000"/>
          <w:lang w:val="pl-PL"/>
        </w:rPr>
        <w:t xml:space="preserve">względną </w:t>
      </w:r>
      <w:r w:rsidRPr="00977945">
        <w:rPr>
          <w:lang w:val="pl-PL"/>
        </w:rPr>
        <w:t>(zob.</w:t>
      </w:r>
      <w:bookmarkStart w:id="34" w:name="lt_pId529"/>
      <w:bookmarkEnd w:id="33"/>
      <w:r w:rsidRPr="00977945">
        <w:rPr>
          <w:lang w:val="pl-PL"/>
        </w:rPr>
        <w:t xml:space="preserve"> m.in., </w:t>
      </w:r>
      <w:r w:rsidRPr="00977945">
        <w:rPr>
          <w:i/>
          <w:iCs/>
          <w:lang w:val="pl-PL"/>
        </w:rPr>
        <w:t>Engel i Inni, op.</w:t>
      </w:r>
      <w:r>
        <w:rPr>
          <w:i/>
          <w:iCs/>
          <w:lang w:val="pl-PL"/>
        </w:rPr>
        <w:t xml:space="preserve"> </w:t>
      </w:r>
      <w:r w:rsidRPr="00977945">
        <w:rPr>
          <w:i/>
          <w:iCs/>
          <w:lang w:val="pl-PL"/>
        </w:rPr>
        <w:t>cit.</w:t>
      </w:r>
      <w:r w:rsidRPr="00977945">
        <w:rPr>
          <w:lang w:val="pl-PL"/>
        </w:rPr>
        <w:t xml:space="preserve">, § 82, oraz </w:t>
      </w:r>
      <w:r w:rsidRPr="00977945">
        <w:rPr>
          <w:i/>
          <w:iCs/>
          <w:lang w:val="pl-PL"/>
        </w:rPr>
        <w:t>Sergey Zolotukhin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53).</w:t>
      </w:r>
      <w:bookmarkEnd w:id="34"/>
      <w:r w:rsidRPr="00977945">
        <w:rPr>
          <w:lang w:val="pl-PL"/>
        </w:rPr>
        <w:t xml:space="preserve"> </w:t>
      </w:r>
      <w:bookmarkStart w:id="35" w:name="lt_pId530"/>
      <w:r w:rsidRPr="00977945">
        <w:rPr>
          <w:lang w:val="pl-PL"/>
        </w:rPr>
        <w:t>Trybunał przeprowadzi zatem bardziej szczegółową analizę faktycznego charakteru przepisu krajowego stanowiącego podstawę prawną kary nałożonej na skarżącego oraz jej surowości.</w:t>
      </w:r>
      <w:bookmarkEnd w:id="35"/>
    </w:p>
    <w:p w14:paraId="6729CA37" w14:textId="77777777" w:rsidR="009E53C0" w:rsidRPr="00977945" w:rsidRDefault="009E53C0" w:rsidP="000D30FE">
      <w:pPr>
        <w:pStyle w:val="ECHRHeading5"/>
        <w:rPr>
          <w:rFonts w:eastAsia="Times New Roman"/>
          <w:lang w:val="pl-PL"/>
        </w:rPr>
      </w:pPr>
      <w:bookmarkStart w:id="36" w:name="lt_pId531"/>
      <w:r w:rsidRPr="00977945">
        <w:rPr>
          <w:rFonts w:eastAsia="Times New Roman"/>
          <w:lang w:val="pl-PL"/>
        </w:rPr>
        <w:t>(ii)</w:t>
      </w:r>
      <w:bookmarkStart w:id="37" w:name="lt_pId532"/>
      <w:bookmarkEnd w:id="36"/>
      <w:r>
        <w:rPr>
          <w:rFonts w:eastAsia="Times New Roman"/>
          <w:lang w:val="pl-PL"/>
        </w:rPr>
        <w:t xml:space="preserve"> </w:t>
      </w:r>
      <w:r w:rsidRPr="00977945">
        <w:rPr>
          <w:rFonts w:eastAsia="Times New Roman"/>
          <w:lang w:val="pl-PL"/>
        </w:rPr>
        <w:t>Faktyczny charakter obowiązującego</w:t>
      </w:r>
      <w:bookmarkEnd w:id="37"/>
      <w:r w:rsidRPr="00977945">
        <w:rPr>
          <w:rFonts w:eastAsia="Times New Roman"/>
          <w:lang w:val="pl-PL"/>
        </w:rPr>
        <w:t xml:space="preserve"> przepisu prawnego</w:t>
      </w:r>
    </w:p>
    <w:p w14:paraId="493F928C" w14:textId="53867BDB" w:rsidR="009E53C0" w:rsidRPr="00977945" w:rsidRDefault="009E53C0" w:rsidP="000D30FE">
      <w:pPr>
        <w:pStyle w:val="ECHRPara"/>
        <w:rPr>
          <w:rFonts w:eastAsia="Times New Roman"/>
          <w:lang w:val="pl-PL"/>
        </w:rPr>
      </w:pPr>
      <w:r w:rsidRPr="00977945">
        <w:rPr>
          <w:rFonts w:eastAsia="Times New Roman"/>
          <w:lang w:val="pl-PL"/>
        </w:rPr>
        <w:t>59.</w:t>
      </w:r>
      <w:r>
        <w:rPr>
          <w:rFonts w:eastAsia="Times New Roman"/>
          <w:lang w:val="pl-PL"/>
        </w:rPr>
        <w:t xml:space="preserve"> </w:t>
      </w:r>
      <w:r w:rsidRPr="00977945">
        <w:rPr>
          <w:rFonts w:eastAsia="Times New Roman"/>
          <w:lang w:val="pl-PL"/>
        </w:rPr>
        <w:t>Ze swej istoty, włączenie do rozporządzenia nr 195/2002 przestępstwa odmowy udostępnienia próbki materiału biologicznego w celu ustalenia poziomu zawartości alkoholu we krwi realizowało określone w art. 1 § 2 rozporządzenia cele, takie jak ochrona życia, nietykalności cielesnej, zdrowia oraz zasadnych praw i interesów uczestników ruchu drogowego, a</w:t>
      </w:r>
      <w:r w:rsidR="000F46C5">
        <w:rPr>
          <w:rFonts w:eastAsia="Times New Roman"/>
          <w:lang w:val="pl-PL"/>
        </w:rPr>
        <w:t xml:space="preserve"> </w:t>
      </w:r>
      <w:r w:rsidRPr="00977945">
        <w:rPr>
          <w:rFonts w:eastAsia="Times New Roman"/>
          <w:lang w:val="pl-PL"/>
        </w:rPr>
        <w:t>także ochrona własności publicznej i prywatnej oraz środowiska – wartości należących do sfery ochrony prawa karnego. Przepisy rozporządzenia miały zastosowanie, zgodnie z art. 1 § 5, do wszystkich użytkowników ruchu drogowego, a nie do grupy o szczególnym statusie.</w:t>
      </w:r>
      <w:bookmarkStart w:id="38" w:name="lt_pId536"/>
      <w:r w:rsidRPr="00977945">
        <w:rPr>
          <w:rFonts w:eastAsia="Times New Roman"/>
          <w:lang w:val="pl-PL"/>
        </w:rPr>
        <w:t xml:space="preserve"> Kara przewidziana za</w:t>
      </w:r>
      <w:r w:rsidR="00A56092">
        <w:rPr>
          <w:rFonts w:eastAsia="Times New Roman"/>
          <w:lang w:val="pl-PL"/>
        </w:rPr>
        <w:t> </w:t>
      </w:r>
      <w:r w:rsidRPr="00977945">
        <w:rPr>
          <w:rFonts w:eastAsia="Times New Roman"/>
          <w:lang w:val="pl-PL"/>
        </w:rPr>
        <w:t>popełnienie przestępstwa określonego w art. 87 § 5 rozporządzenia nr</w:t>
      </w:r>
      <w:r w:rsidR="00A56092">
        <w:rPr>
          <w:rFonts w:eastAsia="Times New Roman"/>
          <w:lang w:val="pl-PL"/>
        </w:rPr>
        <w:t> </w:t>
      </w:r>
      <w:r w:rsidRPr="00977945">
        <w:rPr>
          <w:rFonts w:eastAsia="Times New Roman"/>
          <w:lang w:val="pl-PL"/>
        </w:rPr>
        <w:t xml:space="preserve">195/2002 była surowa – od dwóch do siedmiu lat pozbawienia wolności – </w:t>
      </w:r>
      <w:r w:rsidRPr="00977945">
        <w:rPr>
          <w:rFonts w:eastAsia="Times New Roman"/>
          <w:lang w:val="pl-PL"/>
        </w:rPr>
        <w:lastRenderedPageBreak/>
        <w:t>i miała na celu karanie i powstrzymywanie zachowań mogących podważyć wartości społeczne chronione prawem (zob. paragraf 32 powyżej).</w:t>
      </w:r>
      <w:bookmarkEnd w:id="38"/>
    </w:p>
    <w:p w14:paraId="26E5D449" w14:textId="52303E38" w:rsidR="009E53C0" w:rsidRPr="00977945" w:rsidRDefault="009E53C0" w:rsidP="000D30FE">
      <w:pPr>
        <w:pStyle w:val="ECHRPara"/>
        <w:rPr>
          <w:rFonts w:eastAsia="Times New Roman"/>
          <w:lang w:val="pl-PL"/>
        </w:rPr>
      </w:pPr>
      <w:r w:rsidRPr="00977945">
        <w:rPr>
          <w:rFonts w:eastAsia="Times New Roman"/>
          <w:lang w:val="pl-PL"/>
        </w:rPr>
        <w:t>60.</w:t>
      </w:r>
      <w:r>
        <w:rPr>
          <w:rFonts w:eastAsia="Times New Roman"/>
          <w:lang w:val="pl-PL"/>
        </w:rPr>
        <w:t xml:space="preserve"> </w:t>
      </w:r>
      <w:r w:rsidRPr="00977945">
        <w:rPr>
          <w:rFonts w:eastAsia="Times New Roman"/>
          <w:lang w:val="pl-PL"/>
        </w:rPr>
        <w:t>Trybunał uważa również za istotne zauważyć, że chociaż czyny, o</w:t>
      </w:r>
      <w:r w:rsidR="00A56092">
        <w:rPr>
          <w:rFonts w:eastAsia="Times New Roman"/>
          <w:lang w:val="pl-PL"/>
        </w:rPr>
        <w:t> </w:t>
      </w:r>
      <w:r w:rsidRPr="00977945">
        <w:rPr>
          <w:rFonts w:eastAsia="Times New Roman"/>
          <w:lang w:val="pl-PL"/>
        </w:rPr>
        <w:t>które skarżący został oskarżony, nie zostały uznane za przestępstwo w</w:t>
      </w:r>
      <w:r w:rsidR="00A56092">
        <w:rPr>
          <w:rFonts w:eastAsia="Times New Roman"/>
          <w:lang w:val="pl-PL"/>
        </w:rPr>
        <w:t> </w:t>
      </w:r>
      <w:r w:rsidRPr="00977945">
        <w:rPr>
          <w:rFonts w:eastAsia="Times New Roman"/>
          <w:lang w:val="pl-PL"/>
        </w:rPr>
        <w:t xml:space="preserve">postanowieniu z dnia 7 sierpnia 2008 r., to jednak wchodziły w zakres przepisu prawa karnego. Fakt, że czyny przestępcze, o które skarżący został oskarżony, zostały początkowo uznane za w sposób oczywisty mało znaczące ze względu na ich minimalną ingerencję w jedną z wartości chronionych przez prawo karne i ich konkretną </w:t>
      </w:r>
      <w:r w:rsidR="009B6205">
        <w:rPr>
          <w:rFonts w:eastAsia="Times New Roman"/>
          <w:lang w:val="pl-PL"/>
        </w:rPr>
        <w:t>treść</w:t>
      </w:r>
      <w:r w:rsidRPr="00977945">
        <w:rPr>
          <w:rFonts w:eastAsia="Times New Roman"/>
          <w:lang w:val="pl-PL"/>
        </w:rPr>
        <w:t>, nie wyklucza sam w sobie uznania ich za „czyny zagrożone karą” w zawartym w</w:t>
      </w:r>
      <w:r w:rsidR="000F46C5">
        <w:rPr>
          <w:rFonts w:eastAsia="Times New Roman"/>
          <w:lang w:val="pl-PL"/>
        </w:rPr>
        <w:t xml:space="preserve"> </w:t>
      </w:r>
      <w:r w:rsidRPr="00977945">
        <w:rPr>
          <w:rFonts w:eastAsia="Times New Roman"/>
          <w:lang w:val="pl-PL"/>
        </w:rPr>
        <w:t>Konwencji autonomicznym rozumieniu tego terminu, ponieważ nic w</w:t>
      </w:r>
      <w:r w:rsidR="000F46C5">
        <w:rPr>
          <w:rFonts w:eastAsia="Times New Roman"/>
          <w:lang w:val="pl-PL"/>
        </w:rPr>
        <w:t xml:space="preserve"> </w:t>
      </w:r>
      <w:r w:rsidRPr="00977945">
        <w:rPr>
          <w:rFonts w:eastAsia="Times New Roman"/>
          <w:lang w:val="pl-PL"/>
        </w:rPr>
        <w:t>Konwencji nie wskazuje na to, by</w:t>
      </w:r>
      <w:r w:rsidR="00A56092" w:rsidRPr="00A56092">
        <w:rPr>
          <w:lang w:val="pl-PL"/>
        </w:rPr>
        <w:t> </w:t>
      </w:r>
      <w:r w:rsidRPr="00977945">
        <w:rPr>
          <w:rFonts w:eastAsia="Times New Roman"/>
          <w:lang w:val="pl-PL"/>
        </w:rPr>
        <w:t>charakter karny przestępstwa w</w:t>
      </w:r>
      <w:r w:rsidR="000F46C5">
        <w:rPr>
          <w:rFonts w:eastAsia="Times New Roman"/>
          <w:lang w:val="pl-PL"/>
        </w:rPr>
        <w:t xml:space="preserve"> </w:t>
      </w:r>
      <w:r w:rsidRPr="00977945">
        <w:rPr>
          <w:rFonts w:eastAsia="Times New Roman"/>
          <w:lang w:val="pl-PL"/>
        </w:rPr>
        <w:t>rozumieniu „kryteriów</w:t>
      </w:r>
      <w:r w:rsidR="00B24ED2">
        <w:rPr>
          <w:rFonts w:eastAsia="Times New Roman"/>
          <w:lang w:val="pl-PL"/>
        </w:rPr>
        <w:t xml:space="preserve"> ze sprawy </w:t>
      </w:r>
      <w:r w:rsidR="00B24ED2" w:rsidRPr="00017896">
        <w:rPr>
          <w:rFonts w:eastAsia="Times New Roman"/>
          <w:i/>
          <w:lang w:val="pl-PL"/>
        </w:rPr>
        <w:t>Engel</w:t>
      </w:r>
      <w:r w:rsidRPr="00977945">
        <w:rPr>
          <w:rFonts w:eastAsia="Times New Roman"/>
          <w:lang w:val="pl-PL"/>
        </w:rPr>
        <w:t xml:space="preserve">” wymagał koniecznie określonego stopnia powagi (zob. </w:t>
      </w:r>
      <w:r w:rsidRPr="00977945">
        <w:rPr>
          <w:rFonts w:eastAsia="Times New Roman"/>
          <w:i/>
          <w:iCs/>
          <w:lang w:val="pl-PL"/>
        </w:rPr>
        <w:t>Ezeh i Connors przeciwko Zjednoczonemu Królestwu</w:t>
      </w:r>
      <w:r w:rsidRPr="00977945">
        <w:rPr>
          <w:rFonts w:eastAsia="Times New Roman"/>
          <w:lang w:val="pl-PL"/>
        </w:rPr>
        <w:t xml:space="preserve"> [WI], nr 39665/98 i 40086/98, § 104, </w:t>
      </w:r>
      <w:r w:rsidR="000F46C5">
        <w:rPr>
          <w:rFonts w:eastAsia="Times New Roman"/>
          <w:lang w:val="pl-PL"/>
        </w:rPr>
        <w:t>ETPC</w:t>
      </w:r>
      <w:r w:rsidRPr="00977945">
        <w:rPr>
          <w:rFonts w:eastAsia="Times New Roman"/>
          <w:lang w:val="pl-PL"/>
        </w:rPr>
        <w:t xml:space="preserve"> 2003-X).</w:t>
      </w:r>
      <w:bookmarkStart w:id="39" w:name="lt_pId541"/>
      <w:r w:rsidRPr="00977945">
        <w:rPr>
          <w:rFonts w:eastAsia="Times New Roman"/>
          <w:lang w:val="pl-PL"/>
        </w:rPr>
        <w:t xml:space="preserve"> Ponadto w drugim postępowaniu uznano te same czyny za</w:t>
      </w:r>
      <w:r w:rsidR="00A56092">
        <w:rPr>
          <w:rFonts w:eastAsia="Times New Roman"/>
          <w:lang w:val="pl-PL"/>
        </w:rPr>
        <w:t> </w:t>
      </w:r>
      <w:r w:rsidRPr="00977945">
        <w:rPr>
          <w:rFonts w:eastAsia="Times New Roman"/>
          <w:lang w:val="pl-PL"/>
        </w:rPr>
        <w:t>stanowiące przestępstwo. Trybunał przyjmuje, że przepis prawny, na</w:t>
      </w:r>
      <w:r w:rsidR="00A56092">
        <w:rPr>
          <w:rFonts w:eastAsia="Times New Roman"/>
          <w:lang w:val="pl-PL"/>
        </w:rPr>
        <w:t> </w:t>
      </w:r>
      <w:r w:rsidRPr="00977945">
        <w:rPr>
          <w:rFonts w:eastAsia="Times New Roman"/>
          <w:lang w:val="pl-PL"/>
        </w:rPr>
        <w:t>podstawie którego prokuratura ścigała i</w:t>
      </w:r>
      <w:r w:rsidR="000F46C5">
        <w:rPr>
          <w:rFonts w:eastAsia="Times New Roman"/>
          <w:lang w:val="pl-PL"/>
        </w:rPr>
        <w:t xml:space="preserve"> </w:t>
      </w:r>
      <w:r w:rsidRPr="00977945">
        <w:rPr>
          <w:rFonts w:eastAsia="Times New Roman"/>
          <w:lang w:val="pl-PL"/>
        </w:rPr>
        <w:t>ukarała skarżącego postanowieniem z dnia 7 sierpnia 2008 r., miał charakter karny.</w:t>
      </w:r>
      <w:bookmarkEnd w:id="39"/>
    </w:p>
    <w:p w14:paraId="5A0DBCAD" w14:textId="22DE92A1" w:rsidR="009E53C0" w:rsidRPr="00977945" w:rsidRDefault="009E53C0" w:rsidP="000D30FE">
      <w:pPr>
        <w:pStyle w:val="ECHRHeading5"/>
        <w:rPr>
          <w:rFonts w:eastAsia="Times New Roman"/>
          <w:lang w:val="pl-PL"/>
        </w:rPr>
      </w:pPr>
      <w:bookmarkStart w:id="40" w:name="lt_pId542"/>
      <w:r w:rsidRPr="00977945">
        <w:rPr>
          <w:rFonts w:eastAsia="Times New Roman"/>
          <w:lang w:val="pl-PL"/>
        </w:rPr>
        <w:t>(iii)</w:t>
      </w:r>
      <w:bookmarkEnd w:id="40"/>
      <w:r w:rsidR="000F46C5">
        <w:rPr>
          <w:rFonts w:eastAsia="Times New Roman"/>
          <w:lang w:val="pl-PL"/>
        </w:rPr>
        <w:t xml:space="preserve"> </w:t>
      </w:r>
      <w:r w:rsidRPr="00977945">
        <w:rPr>
          <w:rFonts w:eastAsia="Times New Roman"/>
          <w:lang w:val="pl-PL"/>
        </w:rPr>
        <w:t>Surowość kary</w:t>
      </w:r>
    </w:p>
    <w:p w14:paraId="5C0C0F9D" w14:textId="7F626AB2" w:rsidR="009E53C0" w:rsidRPr="00977945" w:rsidRDefault="009E53C0" w:rsidP="000D30FE">
      <w:pPr>
        <w:pStyle w:val="ECHRPara"/>
        <w:rPr>
          <w:rFonts w:eastAsia="Times New Roman"/>
          <w:lang w:val="pl-PL"/>
        </w:rPr>
      </w:pPr>
      <w:r w:rsidRPr="00977945">
        <w:rPr>
          <w:lang w:val="pl-PL"/>
        </w:rPr>
        <w:t>61.</w:t>
      </w:r>
      <w:r>
        <w:rPr>
          <w:lang w:val="pl-PL"/>
        </w:rPr>
        <w:t xml:space="preserve"> </w:t>
      </w:r>
      <w:r w:rsidRPr="00977945">
        <w:rPr>
          <w:lang w:val="pl-PL"/>
        </w:rPr>
        <w:t>Co do stopnia surowości kary, określa się go poprzez odniesienie do</w:t>
      </w:r>
      <w:r w:rsidR="00A56092">
        <w:rPr>
          <w:lang w:val="pl-PL"/>
        </w:rPr>
        <w:t> </w:t>
      </w:r>
      <w:r w:rsidRPr="00977945">
        <w:rPr>
          <w:lang w:val="pl-PL"/>
        </w:rPr>
        <w:t xml:space="preserve">maksymalnego wymiaru kary przewidzianego w danym prawie. Faktycznie wymierzona kara ma znaczenie dla rozstrzygnięcia, ale nie może umniejszać znaczenia tego, co pierwotnie wchodziło w grę (zob. </w:t>
      </w:r>
      <w:r w:rsidRPr="00977945">
        <w:rPr>
          <w:i/>
          <w:iCs/>
          <w:lang w:val="pl-PL"/>
        </w:rPr>
        <w:t>Sergey Zolotukhin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 xml:space="preserve">56; </w:t>
      </w:r>
      <w:r w:rsidRPr="00977945">
        <w:rPr>
          <w:i/>
          <w:iCs/>
          <w:lang w:val="pl-PL"/>
        </w:rPr>
        <w:t>Grecu przeciwko Rumunii</w:t>
      </w:r>
      <w:r w:rsidRPr="00977945">
        <w:rPr>
          <w:lang w:val="pl-PL"/>
        </w:rPr>
        <w:t>, nr 75101/01, §</w:t>
      </w:r>
      <w:r w:rsidR="000F46C5">
        <w:rPr>
          <w:lang w:val="pl-PL"/>
        </w:rPr>
        <w:t xml:space="preserve"> </w:t>
      </w:r>
      <w:r w:rsidRPr="00977945">
        <w:rPr>
          <w:lang w:val="pl-PL"/>
        </w:rPr>
        <w:t xml:space="preserve">54, 30 listopada 2006 r.; oraz </w:t>
      </w:r>
      <w:r w:rsidRPr="00977945">
        <w:rPr>
          <w:i/>
          <w:iCs/>
          <w:lang w:val="pl-PL"/>
        </w:rPr>
        <w:t>Tomasović przeciwko Chorwacji</w:t>
      </w:r>
      <w:r w:rsidRPr="00977945">
        <w:rPr>
          <w:lang w:val="pl-PL"/>
        </w:rPr>
        <w:t>, nr 53785/09, §</w:t>
      </w:r>
      <w:r w:rsidR="000F46C5">
        <w:rPr>
          <w:lang w:val="pl-PL"/>
        </w:rPr>
        <w:t xml:space="preserve"> </w:t>
      </w:r>
      <w:r w:rsidRPr="00977945">
        <w:rPr>
          <w:lang w:val="pl-PL"/>
        </w:rPr>
        <w:t>23, 18 października 2011 r.).</w:t>
      </w:r>
    </w:p>
    <w:p w14:paraId="55BFE0E9" w14:textId="1AD8454A" w:rsidR="009E53C0" w:rsidRPr="00977945" w:rsidRDefault="009E53C0" w:rsidP="000D30FE">
      <w:pPr>
        <w:pStyle w:val="ECHRPara"/>
        <w:rPr>
          <w:rFonts w:eastAsia="Times New Roman"/>
          <w:lang w:val="pl-PL"/>
        </w:rPr>
      </w:pPr>
      <w:r w:rsidRPr="00977945">
        <w:rPr>
          <w:lang w:val="pl-PL"/>
        </w:rPr>
        <w:t>62.</w:t>
      </w:r>
      <w:r>
        <w:rPr>
          <w:lang w:val="pl-PL"/>
        </w:rPr>
        <w:t xml:space="preserve"> </w:t>
      </w:r>
      <w:r w:rsidRPr="00977945">
        <w:rPr>
          <w:lang w:val="pl-PL"/>
        </w:rPr>
        <w:t>W niniejszej sprawie, w art. 87 § 5 rozporządzenia nr 195/2002 przewidziano, że czyny stanowiące przestępstwo odmowy udostępnienia próbki materiału biologicznego do oznaczenia poziomu zawartości alkoholu we krwi były zagrożone karą od dwóch do siedmiu lat pozbawienia wolności.</w:t>
      </w:r>
      <w:bookmarkStart w:id="41" w:name="lt_pId549"/>
      <w:r w:rsidRPr="00977945">
        <w:rPr>
          <w:lang w:val="pl-PL"/>
        </w:rPr>
        <w:t xml:space="preserve"> </w:t>
      </w:r>
      <w:bookmarkEnd w:id="41"/>
      <w:r w:rsidRPr="00977945">
        <w:rPr>
          <w:lang w:val="pl-PL"/>
        </w:rPr>
        <w:t>Nawet jeśli prokuratura nie uznała, że przedmiotowe czyny stanowiły przestępstwo w rozumieniu prawa karnego, była zobowiązana przez prawo do nałożenia kary w sytuacji, gdy podstawą prawną umorzenia postępowania był art. 18</w:t>
      </w:r>
      <w:r w:rsidRPr="00977945">
        <w:rPr>
          <w:vertAlign w:val="superscript"/>
          <w:lang w:val="pl-PL"/>
        </w:rPr>
        <w:t>1</w:t>
      </w:r>
      <w:r w:rsidRPr="00977945">
        <w:rPr>
          <w:lang w:val="pl-PL"/>
        </w:rPr>
        <w:t xml:space="preserve"> </w:t>
      </w:r>
      <w:r w:rsidR="000F46C5" w:rsidRPr="00977945">
        <w:rPr>
          <w:lang w:val="pl-PL"/>
        </w:rPr>
        <w:t xml:space="preserve">Kodeksu </w:t>
      </w:r>
      <w:r w:rsidRPr="00977945">
        <w:rPr>
          <w:lang w:val="pl-PL"/>
        </w:rPr>
        <w:t>karnego (zob. paragraf 33 powyżej). Za</w:t>
      </w:r>
      <w:r w:rsidR="000F46C5">
        <w:rPr>
          <w:lang w:val="pl-PL"/>
        </w:rPr>
        <w:t xml:space="preserve"> </w:t>
      </w:r>
      <w:r w:rsidRPr="00977945">
        <w:rPr>
          <w:lang w:val="pl-PL"/>
        </w:rPr>
        <w:t>zarzucane mu</w:t>
      </w:r>
      <w:r w:rsidR="00A56092">
        <w:rPr>
          <w:lang w:val="pl-PL"/>
        </w:rPr>
        <w:t> </w:t>
      </w:r>
      <w:r w:rsidRPr="00977945">
        <w:rPr>
          <w:lang w:val="pl-PL"/>
        </w:rPr>
        <w:t xml:space="preserve">czyny skarżący został ukarany grzywną w wysokości 1000 rumuńskich lei (RON – wówczas około 250 EUR (euro)). Kwota ta odpowiadała maksymalnej grzywnie, jaką można było nałożyć na podstawie art. 91 </w:t>
      </w:r>
      <w:r w:rsidR="000F46C5" w:rsidRPr="00977945">
        <w:rPr>
          <w:lang w:val="pl-PL"/>
        </w:rPr>
        <w:t xml:space="preserve">Kodeksu </w:t>
      </w:r>
      <w:r w:rsidRPr="00977945">
        <w:rPr>
          <w:lang w:val="pl-PL"/>
        </w:rPr>
        <w:t xml:space="preserve">karnego. Chociaż </w:t>
      </w:r>
      <w:r w:rsidR="000F46C5" w:rsidRPr="00977945">
        <w:rPr>
          <w:lang w:val="pl-PL"/>
        </w:rPr>
        <w:t xml:space="preserve">Kodeks </w:t>
      </w:r>
      <w:r w:rsidRPr="00977945">
        <w:rPr>
          <w:lang w:val="pl-PL"/>
        </w:rPr>
        <w:t xml:space="preserve">karny określa tę karę jako „administracyjną”, celem grzywny nie było naprawienie szkody wyrządzonej przez skarżącego, lecz ukaranie go i odwiedzenie od popełniania kolejnych czynów przestępczych (por. </w:t>
      </w:r>
      <w:r w:rsidRPr="00977945">
        <w:rPr>
          <w:i/>
          <w:iCs/>
          <w:lang w:val="pl-PL"/>
        </w:rPr>
        <w:t>Ioan Pop przeciwko Rumunii</w:t>
      </w:r>
      <w:r w:rsidRPr="00977945">
        <w:rPr>
          <w:lang w:val="pl-PL"/>
        </w:rPr>
        <w:t xml:space="preserve"> (dec.), nr</w:t>
      </w:r>
      <w:r w:rsidR="00A56092">
        <w:rPr>
          <w:lang w:val="pl-PL"/>
        </w:rPr>
        <w:t> </w:t>
      </w:r>
      <w:r w:rsidRPr="00977945">
        <w:rPr>
          <w:lang w:val="pl-PL"/>
        </w:rPr>
        <w:t xml:space="preserve">40301/04, § 25, 28 czerwca 2011 r., gdzie Trybunał stwierdził, że grzywna administracyjna w wysokości około 50 EUR nałożona na skarżącego </w:t>
      </w:r>
      <w:r w:rsidRPr="00977945">
        <w:rPr>
          <w:lang w:val="pl-PL"/>
        </w:rPr>
        <w:lastRenderedPageBreak/>
        <w:t>na</w:t>
      </w:r>
      <w:r w:rsidR="00A56092">
        <w:rPr>
          <w:lang w:val="pl-PL"/>
        </w:rPr>
        <w:t> </w:t>
      </w:r>
      <w:r w:rsidRPr="00977945">
        <w:rPr>
          <w:lang w:val="pl-PL"/>
        </w:rPr>
        <w:t>podstawie rozporządzenia nr 195/2002 za niezatrzymanie się i</w:t>
      </w:r>
      <w:r w:rsidR="00A56092">
        <w:rPr>
          <w:lang w:val="pl-PL"/>
        </w:rPr>
        <w:t> </w:t>
      </w:r>
      <w:r w:rsidRPr="00977945">
        <w:rPr>
          <w:lang w:val="pl-PL"/>
        </w:rPr>
        <w:t xml:space="preserve">nieustąpienie pierwszeństwa pojazdowi służbowemu miała charakter „karny” w rozumieniu art. 6 Konwencji; oraz </w:t>
      </w:r>
      <w:r w:rsidRPr="00977945">
        <w:rPr>
          <w:i/>
          <w:iCs/>
          <w:lang w:val="pl-PL"/>
        </w:rPr>
        <w:t>Sancaklı przeciwko Turcji</w:t>
      </w:r>
      <w:r w:rsidRPr="00977945">
        <w:rPr>
          <w:lang w:val="pl-PL"/>
        </w:rPr>
        <w:t>, nr</w:t>
      </w:r>
      <w:r w:rsidR="00A56092">
        <w:rPr>
          <w:lang w:val="pl-PL"/>
        </w:rPr>
        <w:t> </w:t>
      </w:r>
      <w:r w:rsidRPr="00977945">
        <w:rPr>
          <w:lang w:val="pl-PL"/>
        </w:rPr>
        <w:t>1385/07, § 30, 15 maja 2018 r., gdzie Trybunał uznał, że grzywna sklasyfikowana w prawie tureckim jako administracyjna, w</w:t>
      </w:r>
      <w:r w:rsidR="000F46C5">
        <w:rPr>
          <w:lang w:val="pl-PL"/>
        </w:rPr>
        <w:t xml:space="preserve"> </w:t>
      </w:r>
      <w:r w:rsidRPr="00977945">
        <w:rPr>
          <w:lang w:val="pl-PL"/>
        </w:rPr>
        <w:t>wysokości około 62 EUR, miała charakter „karny” w rozumieniu art. 6). W</w:t>
      </w:r>
      <w:r w:rsidR="000F46C5">
        <w:rPr>
          <w:lang w:val="pl-PL"/>
        </w:rPr>
        <w:t xml:space="preserve"> </w:t>
      </w:r>
      <w:r w:rsidRPr="00977945">
        <w:rPr>
          <w:lang w:val="pl-PL"/>
        </w:rPr>
        <w:t>związku z tym, mimo że prawo krajowe klasyfikuje grzywnę nałożoną na skarżącą jako „administracyjną”, ma ona cel represyjny i odstraszający, a</w:t>
      </w:r>
      <w:r w:rsidR="000F46C5">
        <w:rPr>
          <w:lang w:val="pl-PL"/>
        </w:rPr>
        <w:t xml:space="preserve"> </w:t>
      </w:r>
      <w:r w:rsidRPr="00977945">
        <w:rPr>
          <w:lang w:val="pl-PL"/>
        </w:rPr>
        <w:t>zatem jest zbliżona do sankcji karnej.</w:t>
      </w:r>
    </w:p>
    <w:p w14:paraId="3D24338B" w14:textId="3D4B046F" w:rsidR="009E53C0" w:rsidRPr="00977945" w:rsidRDefault="009E53C0" w:rsidP="000D30FE">
      <w:pPr>
        <w:pStyle w:val="ECHRHeading5"/>
        <w:rPr>
          <w:rFonts w:eastAsia="Times New Roman"/>
          <w:lang w:val="pl-PL"/>
        </w:rPr>
      </w:pPr>
      <w:bookmarkStart w:id="42" w:name="lt_pId554"/>
      <w:r w:rsidRPr="00977945">
        <w:rPr>
          <w:rFonts w:eastAsia="Times New Roman"/>
          <w:lang w:val="pl-PL"/>
        </w:rPr>
        <w:t>(iv)</w:t>
      </w:r>
      <w:bookmarkStart w:id="43" w:name="lt_pId555"/>
      <w:bookmarkEnd w:id="42"/>
      <w:r>
        <w:rPr>
          <w:rFonts w:eastAsia="Times New Roman"/>
          <w:lang w:val="pl-PL"/>
        </w:rPr>
        <w:t xml:space="preserve"> </w:t>
      </w:r>
      <w:r w:rsidRPr="00977945">
        <w:rPr>
          <w:rFonts w:eastAsia="Times New Roman"/>
          <w:lang w:val="pl-PL"/>
        </w:rPr>
        <w:t>Wniosek dotyczący charakteru postępowania, które doprowadziło do wydania postanowienia z dnia 7</w:t>
      </w:r>
      <w:r w:rsidR="000F46C5">
        <w:rPr>
          <w:rFonts w:eastAsia="Times New Roman"/>
          <w:lang w:val="pl-PL"/>
        </w:rPr>
        <w:t xml:space="preserve"> </w:t>
      </w:r>
      <w:r w:rsidRPr="00977945">
        <w:rPr>
          <w:rFonts w:eastAsia="Times New Roman"/>
          <w:lang w:val="pl-PL"/>
        </w:rPr>
        <w:t>sierpnia 2008 r.</w:t>
      </w:r>
      <w:bookmarkEnd w:id="43"/>
    </w:p>
    <w:p w14:paraId="30DA40BA" w14:textId="75E6F611" w:rsidR="009E53C0" w:rsidRPr="00977945" w:rsidRDefault="009E53C0" w:rsidP="000D30FE">
      <w:pPr>
        <w:pStyle w:val="ECHRPara"/>
        <w:rPr>
          <w:lang w:val="pl-PL"/>
        </w:rPr>
      </w:pPr>
      <w:bookmarkStart w:id="44" w:name="P69"/>
      <w:r w:rsidRPr="00977945">
        <w:rPr>
          <w:lang w:val="pl-PL"/>
        </w:rPr>
        <w:t>63</w:t>
      </w:r>
      <w:bookmarkEnd w:id="44"/>
      <w:r w:rsidRPr="00977945">
        <w:rPr>
          <w:lang w:val="pl-PL"/>
        </w:rPr>
        <w:t>.</w:t>
      </w:r>
      <w:bookmarkStart w:id="45" w:name="lt_pId557"/>
      <w:r>
        <w:rPr>
          <w:lang w:val="pl-PL"/>
        </w:rPr>
        <w:t xml:space="preserve"> </w:t>
      </w:r>
      <w:r w:rsidRPr="00977945">
        <w:rPr>
          <w:lang w:val="pl-PL"/>
        </w:rPr>
        <w:t>W świetle powyższego Trybunał stwierdza, że charakter przestępstwa, za które skarżący był ścigany, oraz nałożona na niego kara łączą postępowanie, które doprowadziło do wydania postanowienia z dnia 7</w:t>
      </w:r>
      <w:r w:rsidR="00A56092">
        <w:rPr>
          <w:lang w:val="pl-PL"/>
        </w:rPr>
        <w:t> </w:t>
      </w:r>
      <w:r w:rsidRPr="00977945">
        <w:rPr>
          <w:lang w:val="pl-PL"/>
        </w:rPr>
        <w:t>sierpnia 2008 r., z pojęciem „postępowania karnego” w rozumieniu art.</w:t>
      </w:r>
      <w:r w:rsidR="000F46C5">
        <w:rPr>
          <w:lang w:val="pl-PL"/>
        </w:rPr>
        <w:t xml:space="preserve"> </w:t>
      </w:r>
      <w:r w:rsidRPr="00977945">
        <w:rPr>
          <w:lang w:val="pl-PL"/>
        </w:rPr>
        <w:t>4</w:t>
      </w:r>
      <w:r w:rsidR="000F46C5">
        <w:rPr>
          <w:lang w:val="pl-PL"/>
        </w:rPr>
        <w:t xml:space="preserve"> </w:t>
      </w:r>
      <w:r w:rsidRPr="00977945">
        <w:rPr>
          <w:lang w:val="pl-PL"/>
        </w:rPr>
        <w:t>Protokołu nr 7.</w:t>
      </w:r>
      <w:bookmarkEnd w:id="45"/>
    </w:p>
    <w:p w14:paraId="3FF1E242" w14:textId="1C2CC389" w:rsidR="009E53C0" w:rsidRPr="00977945" w:rsidRDefault="009E53C0" w:rsidP="000D30FE">
      <w:pPr>
        <w:pStyle w:val="ECHRPara"/>
        <w:rPr>
          <w:lang w:val="pl-PL"/>
        </w:rPr>
      </w:pPr>
      <w:r w:rsidRPr="00977945">
        <w:rPr>
          <w:lang w:val="pl-PL"/>
        </w:rPr>
        <w:t>64.</w:t>
      </w:r>
      <w:bookmarkStart w:id="46" w:name="lt_pId559"/>
      <w:r>
        <w:rPr>
          <w:lang w:val="pl-PL"/>
        </w:rPr>
        <w:t xml:space="preserve"> </w:t>
      </w:r>
      <w:r w:rsidRPr="00977945">
        <w:rPr>
          <w:lang w:val="pl-PL"/>
        </w:rPr>
        <w:t>Ponadto nie ulega wątpliwości, że kara jednego roku pozbawienia wolności w zawieszeniu, orzeczona wobec skarżącego wyrokiem sądu apelacyjnego w Gałaczu z dnia 14 czerwca 2010 r., stanowiła sankcję karną (zob. p</w:t>
      </w:r>
      <w:r w:rsidR="00AC0165">
        <w:rPr>
          <w:lang w:val="pl-PL"/>
        </w:rPr>
        <w:t>aragraf</w:t>
      </w:r>
      <w:r w:rsidRPr="00977945">
        <w:rPr>
          <w:lang w:val="pl-PL"/>
        </w:rPr>
        <w:t xml:space="preserve"> 25 powyżej).</w:t>
      </w:r>
      <w:bookmarkEnd w:id="46"/>
      <w:r w:rsidRPr="00977945">
        <w:rPr>
          <w:lang w:val="pl-PL"/>
        </w:rPr>
        <w:t xml:space="preserve"> </w:t>
      </w:r>
      <w:bookmarkStart w:id="47" w:name="lt_pId560"/>
      <w:r w:rsidRPr="00977945">
        <w:rPr>
          <w:lang w:val="pl-PL"/>
        </w:rPr>
        <w:t>Postępowanie opisane przez skarżącego miało charakter karny, dlatego spełnione jest pierwsze kryterium możliwości zastosowania art. 4 Protokołu nr 7.</w:t>
      </w:r>
      <w:bookmarkEnd w:id="47"/>
    </w:p>
    <w:p w14:paraId="3D81CAC7" w14:textId="041EE107" w:rsidR="009E53C0" w:rsidRPr="00977945" w:rsidRDefault="009E53C0" w:rsidP="000D30FE">
      <w:pPr>
        <w:pStyle w:val="ECHRHeading3"/>
        <w:rPr>
          <w:lang w:val="pl-PL"/>
        </w:rPr>
      </w:pPr>
      <w:r w:rsidRPr="00977945">
        <w:rPr>
          <w:lang w:val="pl-PL"/>
        </w:rPr>
        <w:t>2.</w:t>
      </w:r>
      <w:bookmarkStart w:id="48" w:name="lt_pId562"/>
      <w:r>
        <w:rPr>
          <w:lang w:val="pl-PL"/>
        </w:rPr>
        <w:t xml:space="preserve"> </w:t>
      </w:r>
      <w:r w:rsidRPr="00977945">
        <w:rPr>
          <w:lang w:val="pl-PL"/>
        </w:rPr>
        <w:t>Czy skarżący był dwukrotnie ścigany za to samo przestępstwo (</w:t>
      </w:r>
      <w:r w:rsidR="00B40904" w:rsidRPr="00B40904">
        <w:rPr>
          <w:i w:val="0"/>
          <w:iCs w:val="0"/>
          <w:lang w:val="pl-PL"/>
        </w:rPr>
        <w:t>idem</w:t>
      </w:r>
      <w:r w:rsidRPr="00977945">
        <w:rPr>
          <w:lang w:val="pl-PL"/>
        </w:rPr>
        <w:t>)</w:t>
      </w:r>
      <w:bookmarkEnd w:id="48"/>
    </w:p>
    <w:p w14:paraId="374D151A" w14:textId="77777777" w:rsidR="009E53C0" w:rsidRPr="00977945" w:rsidRDefault="009E53C0" w:rsidP="000D30FE">
      <w:pPr>
        <w:pStyle w:val="ECHRHeading4"/>
        <w:rPr>
          <w:lang w:val="pl-PL"/>
        </w:rPr>
      </w:pPr>
      <w:bookmarkStart w:id="49" w:name="lt_pId563"/>
      <w:r w:rsidRPr="00977945">
        <w:rPr>
          <w:lang w:val="pl-PL"/>
        </w:rPr>
        <w:t>a)</w:t>
      </w:r>
      <w:bookmarkEnd w:id="49"/>
      <w:r w:rsidRPr="00977945">
        <w:rPr>
          <w:lang w:val="pl-PL"/>
        </w:rPr>
        <w:t xml:space="preserve"> </w:t>
      </w:r>
      <w:bookmarkStart w:id="50" w:name="lt_pId564"/>
      <w:r w:rsidRPr="00977945">
        <w:rPr>
          <w:lang w:val="pl-PL"/>
        </w:rPr>
        <w:t>Stanowiska stron</w:t>
      </w:r>
      <w:bookmarkEnd w:id="50"/>
    </w:p>
    <w:p w14:paraId="232F5400" w14:textId="77777777" w:rsidR="009E53C0" w:rsidRPr="00977945" w:rsidRDefault="009E53C0" w:rsidP="000D30FE">
      <w:pPr>
        <w:pStyle w:val="ECHRHeading5"/>
        <w:rPr>
          <w:lang w:val="pl-PL"/>
        </w:rPr>
      </w:pPr>
      <w:bookmarkStart w:id="51" w:name="lt_pId565"/>
      <w:r w:rsidRPr="00977945">
        <w:rPr>
          <w:lang w:val="pl-PL"/>
        </w:rPr>
        <w:t>(i)</w:t>
      </w:r>
      <w:bookmarkStart w:id="52" w:name="lt_pId566"/>
      <w:bookmarkEnd w:id="51"/>
      <w:r>
        <w:rPr>
          <w:lang w:val="pl-PL"/>
        </w:rPr>
        <w:t xml:space="preserve"> </w:t>
      </w:r>
      <w:r w:rsidRPr="00977945">
        <w:rPr>
          <w:lang w:val="pl-PL"/>
        </w:rPr>
        <w:t>Rząd</w:t>
      </w:r>
      <w:bookmarkEnd w:id="52"/>
    </w:p>
    <w:p w14:paraId="69B63766" w14:textId="2A8D1E20" w:rsidR="009E53C0" w:rsidRPr="00977945" w:rsidRDefault="009E53C0" w:rsidP="000D30FE">
      <w:pPr>
        <w:pStyle w:val="ECHRPara"/>
        <w:rPr>
          <w:lang w:val="pl-PL"/>
        </w:rPr>
      </w:pPr>
      <w:r w:rsidRPr="00977945">
        <w:rPr>
          <w:lang w:val="pl-PL"/>
        </w:rPr>
        <w:t>65.</w:t>
      </w:r>
      <w:r>
        <w:rPr>
          <w:lang w:val="pl-PL"/>
        </w:rPr>
        <w:t xml:space="preserve"> </w:t>
      </w:r>
      <w:r w:rsidRPr="00977945">
        <w:rPr>
          <w:lang w:val="pl-PL"/>
        </w:rPr>
        <w:t>Rząd nie zaprzeczył, że przestępstwo, za które skarżący został skazany przez Sąd Rejonowy w Fokszanach wyrokiem z dnia 18 listopada 2009 r.</w:t>
      </w:r>
      <w:r w:rsidR="00B40904">
        <w:rPr>
          <w:lang w:val="pl-PL"/>
        </w:rPr>
        <w:t>,</w:t>
      </w:r>
      <w:r w:rsidRPr="00977945">
        <w:rPr>
          <w:lang w:val="pl-PL"/>
        </w:rPr>
        <w:t xml:space="preserve"> wiązało się z tymi samymi faktami, na podstawie których skarżący został ukarany grzywną w postanowieniu z dnia 7 sierpnia 2008 r.</w:t>
      </w:r>
    </w:p>
    <w:p w14:paraId="0E783520" w14:textId="77777777" w:rsidR="009E53C0" w:rsidRPr="00977945" w:rsidRDefault="009E53C0" w:rsidP="000D30FE">
      <w:pPr>
        <w:pStyle w:val="ECHRHeading5"/>
        <w:rPr>
          <w:lang w:val="pl-PL"/>
        </w:rPr>
      </w:pPr>
      <w:bookmarkStart w:id="53" w:name="lt_pId569"/>
      <w:r w:rsidRPr="00977945">
        <w:rPr>
          <w:lang w:val="pl-PL"/>
        </w:rPr>
        <w:t>(ii)</w:t>
      </w:r>
      <w:bookmarkStart w:id="54" w:name="lt_pId570"/>
      <w:bookmarkEnd w:id="53"/>
      <w:r>
        <w:rPr>
          <w:lang w:val="pl-PL"/>
        </w:rPr>
        <w:t xml:space="preserve"> </w:t>
      </w:r>
      <w:r w:rsidRPr="00977945">
        <w:rPr>
          <w:lang w:val="pl-PL"/>
        </w:rPr>
        <w:t>Skarżący</w:t>
      </w:r>
      <w:bookmarkEnd w:id="54"/>
    </w:p>
    <w:p w14:paraId="349AC3C6" w14:textId="63C9C572" w:rsidR="009E53C0" w:rsidRPr="00977945" w:rsidRDefault="009E53C0" w:rsidP="000D30FE">
      <w:pPr>
        <w:pStyle w:val="ECHRPara"/>
        <w:rPr>
          <w:lang w:val="pl-PL"/>
        </w:rPr>
      </w:pPr>
      <w:r w:rsidRPr="00977945">
        <w:rPr>
          <w:lang w:val="pl-PL"/>
        </w:rPr>
        <w:t>66.</w:t>
      </w:r>
      <w:r>
        <w:rPr>
          <w:lang w:val="pl-PL"/>
        </w:rPr>
        <w:t xml:space="preserve"> </w:t>
      </w:r>
      <w:r w:rsidRPr="00977945">
        <w:rPr>
          <w:lang w:val="pl-PL"/>
        </w:rPr>
        <w:t>Skarżący podniósł, że przestępstwo, za które został skazany przez Sąd Rejonowy w Fokszanach wyrokiem z dnia 18 listopada 2009 r.</w:t>
      </w:r>
      <w:r w:rsidR="00B40904">
        <w:rPr>
          <w:lang w:val="pl-PL"/>
        </w:rPr>
        <w:t>,</w:t>
      </w:r>
      <w:r w:rsidRPr="00977945">
        <w:rPr>
          <w:lang w:val="pl-PL"/>
        </w:rPr>
        <w:t xml:space="preserve"> dotyczyło tych samych czynów, na podstawie których został ukarany grzywną przez prokuraturę postanowieniem z dnia 7 sierpnia 2008</w:t>
      </w:r>
      <w:r w:rsidR="000F46C5">
        <w:rPr>
          <w:lang w:val="pl-PL"/>
        </w:rPr>
        <w:t xml:space="preserve"> </w:t>
      </w:r>
      <w:r w:rsidRPr="00977945">
        <w:rPr>
          <w:lang w:val="pl-PL"/>
        </w:rPr>
        <w:t>r.</w:t>
      </w:r>
    </w:p>
    <w:p w14:paraId="305550C8" w14:textId="77777777" w:rsidR="009E53C0" w:rsidRPr="00977945" w:rsidRDefault="009E53C0" w:rsidP="000D30FE">
      <w:pPr>
        <w:pStyle w:val="ECHRHeading4"/>
        <w:rPr>
          <w:lang w:val="pl-PL"/>
        </w:rPr>
      </w:pPr>
      <w:bookmarkStart w:id="55" w:name="lt_pId573"/>
      <w:r w:rsidRPr="00977945">
        <w:rPr>
          <w:lang w:val="pl-PL"/>
        </w:rPr>
        <w:t>b)</w:t>
      </w:r>
      <w:bookmarkEnd w:id="55"/>
      <w:r w:rsidRPr="00977945">
        <w:rPr>
          <w:lang w:val="pl-PL"/>
        </w:rPr>
        <w:t xml:space="preserve"> </w:t>
      </w:r>
      <w:bookmarkStart w:id="56" w:name="lt_pId574"/>
      <w:r w:rsidRPr="00977945">
        <w:rPr>
          <w:lang w:val="pl-PL"/>
        </w:rPr>
        <w:t>Ocena Trybunału</w:t>
      </w:r>
      <w:bookmarkEnd w:id="56"/>
    </w:p>
    <w:p w14:paraId="5408D7EE" w14:textId="093C2F9F" w:rsidR="009E53C0" w:rsidRPr="00977945" w:rsidRDefault="009E53C0" w:rsidP="000D30FE">
      <w:pPr>
        <w:pStyle w:val="ECHRPara"/>
        <w:rPr>
          <w:lang w:val="pl-PL"/>
        </w:rPr>
      </w:pPr>
      <w:r w:rsidRPr="00977945">
        <w:rPr>
          <w:lang w:val="pl-PL"/>
        </w:rPr>
        <w:t>67.</w:t>
      </w:r>
      <w:r>
        <w:rPr>
          <w:lang w:val="pl-PL"/>
        </w:rPr>
        <w:t xml:space="preserve"> </w:t>
      </w:r>
      <w:r w:rsidRPr="00977945">
        <w:rPr>
          <w:lang w:val="pl-PL"/>
        </w:rPr>
        <w:t xml:space="preserve">W wyroku w sprawie </w:t>
      </w:r>
      <w:r w:rsidRPr="00977945">
        <w:rPr>
          <w:i/>
          <w:iCs/>
          <w:lang w:val="pl-PL"/>
        </w:rPr>
        <w:t>Sergey Zolotukhin</w:t>
      </w:r>
      <w:r w:rsidRPr="00977945">
        <w:rPr>
          <w:lang w:val="pl-PL"/>
        </w:rPr>
        <w:t xml:space="preserve"> (</w:t>
      </w:r>
      <w:r w:rsidRPr="00977945">
        <w:rPr>
          <w:i/>
          <w:iCs/>
          <w:lang w:val="pl-PL"/>
        </w:rPr>
        <w:t>op.cit.</w:t>
      </w:r>
      <w:r w:rsidRPr="00977945">
        <w:rPr>
          <w:lang w:val="pl-PL"/>
        </w:rPr>
        <w:t xml:space="preserve">, § 82) Trybunał stwierdził, że art. 4 Protokołu nr 7 należy rozumieć jako zakazujący ścigania lub sądzenia </w:t>
      </w:r>
      <w:r w:rsidR="00B40904">
        <w:rPr>
          <w:lang w:val="pl-PL"/>
        </w:rPr>
        <w:t>za drugie „przestępstwo</w:t>
      </w:r>
      <w:r w:rsidRPr="00977945">
        <w:rPr>
          <w:lang w:val="pl-PL"/>
        </w:rPr>
        <w:t>”, o ile wynika ono z</w:t>
      </w:r>
      <w:r w:rsidR="000F46C5">
        <w:rPr>
          <w:lang w:val="pl-PL"/>
        </w:rPr>
        <w:t xml:space="preserve"> </w:t>
      </w:r>
      <w:r w:rsidRPr="00977945">
        <w:rPr>
          <w:lang w:val="pl-PL"/>
        </w:rPr>
        <w:t xml:space="preserve">identycznych </w:t>
      </w:r>
      <w:r w:rsidRPr="00977945">
        <w:rPr>
          <w:lang w:val="pl-PL"/>
        </w:rPr>
        <w:lastRenderedPageBreak/>
        <w:t>faktów lub faktów, które są zasadniczo takie same. To podejście oparte na</w:t>
      </w:r>
      <w:r w:rsidR="001F5A65">
        <w:rPr>
          <w:lang w:val="pl-PL"/>
        </w:rPr>
        <w:t> </w:t>
      </w:r>
      <w:r w:rsidRPr="00977945">
        <w:rPr>
          <w:lang w:val="pl-PL"/>
        </w:rPr>
        <w:t>faktach zostało wyraźnie powtórzone przez Trybunał w</w:t>
      </w:r>
      <w:r w:rsidR="000F46C5">
        <w:rPr>
          <w:lang w:val="pl-PL"/>
        </w:rPr>
        <w:t xml:space="preserve"> </w:t>
      </w:r>
      <w:r w:rsidRPr="00977945">
        <w:rPr>
          <w:lang w:val="pl-PL"/>
        </w:rPr>
        <w:t>kolejnych sprawach (zob.</w:t>
      </w:r>
      <w:bookmarkStart w:id="57" w:name="lt_pId577"/>
      <w:r w:rsidRPr="00977945">
        <w:rPr>
          <w:lang w:val="pl-PL"/>
        </w:rPr>
        <w:t xml:space="preserve"> np. </w:t>
      </w:r>
      <w:r w:rsidRPr="00977945">
        <w:rPr>
          <w:i/>
          <w:iCs/>
          <w:lang w:val="pl-PL"/>
        </w:rPr>
        <w:t>Marguš</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 114; </w:t>
      </w:r>
      <w:bookmarkEnd w:id="57"/>
      <w:r w:rsidRPr="00977945">
        <w:rPr>
          <w:i/>
          <w:iCs/>
          <w:lang w:val="pl-PL"/>
        </w:rPr>
        <w:t>A i B przeciwko Norwegii</w:t>
      </w:r>
      <w:r w:rsidRPr="00977945">
        <w:rPr>
          <w:lang w:val="pl-PL"/>
        </w:rPr>
        <w:t xml:space="preserve">, </w:t>
      </w:r>
      <w:r w:rsidRPr="00977945">
        <w:rPr>
          <w:i/>
          <w:iCs/>
          <w:lang w:val="pl-PL"/>
        </w:rPr>
        <w:t>op.</w:t>
      </w:r>
      <w:r w:rsidR="001F5A65">
        <w:rPr>
          <w:i/>
          <w:iCs/>
          <w:lang w:val="pl-PL"/>
        </w:rPr>
        <w:t> </w:t>
      </w:r>
      <w:r w:rsidRPr="00977945">
        <w:rPr>
          <w:i/>
          <w:iCs/>
          <w:lang w:val="pl-PL"/>
        </w:rPr>
        <w:t>cit.</w:t>
      </w:r>
      <w:r w:rsidRPr="00977945">
        <w:rPr>
          <w:lang w:val="pl-PL"/>
        </w:rPr>
        <w:t>,</w:t>
      </w:r>
      <w:r w:rsidR="001F5A65">
        <w:rPr>
          <w:lang w:val="pl-PL"/>
        </w:rPr>
        <w:t> </w:t>
      </w:r>
      <w:r w:rsidRPr="00977945">
        <w:rPr>
          <w:lang w:val="pl-PL"/>
        </w:rPr>
        <w:t>§</w:t>
      </w:r>
      <w:r w:rsidR="000F46C5">
        <w:rPr>
          <w:lang w:val="pl-PL"/>
        </w:rPr>
        <w:t xml:space="preserve"> </w:t>
      </w:r>
      <w:r w:rsidRPr="00977945">
        <w:rPr>
          <w:lang w:val="pl-PL"/>
        </w:rPr>
        <w:t xml:space="preserve">108; oraz </w:t>
      </w:r>
      <w:r w:rsidRPr="00977945">
        <w:rPr>
          <w:i/>
          <w:iCs/>
          <w:lang w:val="pl-PL"/>
        </w:rPr>
        <w:t>Ramda przeciwko Francji</w:t>
      </w:r>
      <w:r w:rsidRPr="00977945">
        <w:rPr>
          <w:lang w:val="pl-PL"/>
        </w:rPr>
        <w:t>, nr</w:t>
      </w:r>
      <w:r w:rsidR="000F46C5">
        <w:rPr>
          <w:lang w:val="pl-PL"/>
        </w:rPr>
        <w:t xml:space="preserve"> </w:t>
      </w:r>
      <w:r w:rsidRPr="00977945">
        <w:rPr>
          <w:lang w:val="pl-PL"/>
        </w:rPr>
        <w:t>78477/11, § 81, 19 grudnia 2017 r.).</w:t>
      </w:r>
    </w:p>
    <w:p w14:paraId="7250A60A" w14:textId="1F0E0394" w:rsidR="009E53C0" w:rsidRPr="00977945" w:rsidRDefault="009E53C0" w:rsidP="000D30FE">
      <w:pPr>
        <w:pStyle w:val="ECHRPara"/>
        <w:rPr>
          <w:rFonts w:eastAsia="Times New Roman"/>
          <w:lang w:val="pl-PL"/>
        </w:rPr>
      </w:pPr>
      <w:r w:rsidRPr="00977945">
        <w:rPr>
          <w:rFonts w:eastAsia="Times New Roman"/>
          <w:lang w:val="pl-PL"/>
        </w:rPr>
        <w:t>68.</w:t>
      </w:r>
      <w:r>
        <w:rPr>
          <w:rFonts w:eastAsia="Times New Roman"/>
          <w:lang w:val="pl-PL"/>
        </w:rPr>
        <w:t xml:space="preserve"> </w:t>
      </w:r>
      <w:r w:rsidRPr="00977945">
        <w:rPr>
          <w:rFonts w:eastAsia="Times New Roman"/>
          <w:lang w:val="pl-PL"/>
        </w:rPr>
        <w:t>W niniejszej sprawie Trybunał zauważ</w:t>
      </w:r>
      <w:r w:rsidR="004B4922">
        <w:rPr>
          <w:rFonts w:eastAsia="Times New Roman"/>
          <w:lang w:val="pl-PL"/>
        </w:rPr>
        <w:t>a</w:t>
      </w:r>
      <w:r w:rsidRPr="00977945">
        <w:rPr>
          <w:rFonts w:eastAsia="Times New Roman"/>
          <w:lang w:val="pl-PL"/>
        </w:rPr>
        <w:t>, że na podstawie postanowienia z dnia 7 sierpnia 2008 r. i prawomocnego wyroku wydanego przez sąd apelacyjny w Gałaczu w dniu 14 czerwca 2010 r. skarżący został uznany za winnego odmowy poddania się badaniu na zawartość alkoholu we</w:t>
      </w:r>
      <w:r w:rsidR="001F5A65">
        <w:rPr>
          <w:rFonts w:eastAsia="Times New Roman"/>
          <w:lang w:val="pl-PL"/>
        </w:rPr>
        <w:t> </w:t>
      </w:r>
      <w:r w:rsidRPr="00977945">
        <w:rPr>
          <w:rFonts w:eastAsia="Times New Roman"/>
          <w:lang w:val="pl-PL"/>
        </w:rPr>
        <w:t>krwi w nocy z 2 na 3 maja 2008 r. w wyniku kontroli prewencyjnej przeprowadzonej przez policję drogową i został ukarany za ten czyn. W</w:t>
      </w:r>
      <w:r w:rsidR="001F5A65">
        <w:rPr>
          <w:rFonts w:eastAsia="Times New Roman"/>
          <w:lang w:val="pl-PL"/>
        </w:rPr>
        <w:t> </w:t>
      </w:r>
      <w:r w:rsidRPr="00977945">
        <w:rPr>
          <w:rFonts w:eastAsia="Times New Roman"/>
          <w:lang w:val="pl-PL"/>
        </w:rPr>
        <w:t>związku z tym w zakresie, w jakim dwa wyżej wymienione postanowienia dotyczyły tych samych faktów i tych samych oskarżeń, skarżący był</w:t>
      </w:r>
      <w:r w:rsidR="001F5A65">
        <w:rPr>
          <w:rFonts w:eastAsia="Times New Roman"/>
          <w:lang w:val="pl-PL"/>
        </w:rPr>
        <w:t> </w:t>
      </w:r>
      <w:r w:rsidRPr="00977945">
        <w:rPr>
          <w:rFonts w:eastAsia="Times New Roman"/>
          <w:lang w:val="pl-PL"/>
        </w:rPr>
        <w:t>rzeczywiście dwukrotnie sądzony i karany za to samo przestępstwo.</w:t>
      </w:r>
    </w:p>
    <w:p w14:paraId="1AFED302" w14:textId="77777777" w:rsidR="009E53C0" w:rsidRPr="00977945" w:rsidRDefault="009E53C0" w:rsidP="000D30FE">
      <w:pPr>
        <w:pStyle w:val="ECHRHeading3"/>
        <w:rPr>
          <w:lang w:val="pl-PL"/>
        </w:rPr>
      </w:pPr>
      <w:r w:rsidRPr="00977945">
        <w:rPr>
          <w:lang w:val="pl-PL"/>
        </w:rPr>
        <w:t>3.</w:t>
      </w:r>
      <w:r>
        <w:rPr>
          <w:lang w:val="pl-PL"/>
        </w:rPr>
        <w:t xml:space="preserve"> </w:t>
      </w:r>
      <w:r w:rsidRPr="00977945">
        <w:rPr>
          <w:lang w:val="pl-PL"/>
        </w:rPr>
        <w:t xml:space="preserve">Czy doszło do powielenia postępowania </w:t>
      </w:r>
      <w:r w:rsidRPr="00977945">
        <w:rPr>
          <w:i w:val="0"/>
          <w:iCs w:val="0"/>
          <w:lang w:val="pl-PL"/>
        </w:rPr>
        <w:t>(bis)</w:t>
      </w:r>
    </w:p>
    <w:p w14:paraId="3CF1B37E" w14:textId="77777777" w:rsidR="009E53C0" w:rsidRPr="00977945" w:rsidRDefault="009E53C0" w:rsidP="000D30FE">
      <w:pPr>
        <w:pStyle w:val="ECHRHeading4"/>
        <w:rPr>
          <w:lang w:val="pl-PL"/>
        </w:rPr>
      </w:pPr>
      <w:bookmarkStart w:id="58" w:name="lt_pId583"/>
      <w:r w:rsidRPr="00977945">
        <w:rPr>
          <w:lang w:val="pl-PL"/>
        </w:rPr>
        <w:t>a)</w:t>
      </w:r>
      <w:bookmarkEnd w:id="58"/>
      <w:r w:rsidRPr="00977945">
        <w:rPr>
          <w:lang w:val="pl-PL"/>
        </w:rPr>
        <w:t xml:space="preserve"> </w:t>
      </w:r>
      <w:bookmarkStart w:id="59" w:name="lt_pId584"/>
      <w:r w:rsidRPr="00977945">
        <w:rPr>
          <w:lang w:val="pl-PL"/>
        </w:rPr>
        <w:t>Stanowiska stron</w:t>
      </w:r>
      <w:bookmarkEnd w:id="59"/>
    </w:p>
    <w:p w14:paraId="1F7FB25B" w14:textId="77777777" w:rsidR="009E53C0" w:rsidRPr="00977945" w:rsidRDefault="009E53C0" w:rsidP="000D30FE">
      <w:pPr>
        <w:pStyle w:val="ECHRHeading5"/>
        <w:rPr>
          <w:lang w:val="pl-PL"/>
        </w:rPr>
      </w:pPr>
      <w:bookmarkStart w:id="60" w:name="lt_pId585"/>
      <w:r w:rsidRPr="00977945">
        <w:rPr>
          <w:lang w:val="pl-PL"/>
        </w:rPr>
        <w:t>(i)</w:t>
      </w:r>
      <w:bookmarkStart w:id="61" w:name="lt_pId586"/>
      <w:bookmarkEnd w:id="60"/>
      <w:r>
        <w:rPr>
          <w:lang w:val="pl-PL"/>
        </w:rPr>
        <w:t xml:space="preserve"> </w:t>
      </w:r>
      <w:r w:rsidRPr="00977945">
        <w:rPr>
          <w:lang w:val="pl-PL"/>
        </w:rPr>
        <w:t>Rząd</w:t>
      </w:r>
      <w:bookmarkEnd w:id="61"/>
    </w:p>
    <w:p w14:paraId="00EA0EC6" w14:textId="015F230E" w:rsidR="009E53C0" w:rsidRPr="00977945" w:rsidRDefault="009E53C0" w:rsidP="000D30FE">
      <w:pPr>
        <w:pStyle w:val="ECHRPara"/>
        <w:rPr>
          <w:lang w:val="pl-PL"/>
        </w:rPr>
      </w:pPr>
      <w:r w:rsidRPr="00977945">
        <w:rPr>
          <w:lang w:val="pl-PL"/>
        </w:rPr>
        <w:t>69.</w:t>
      </w:r>
      <w:r>
        <w:rPr>
          <w:lang w:val="pl-PL"/>
        </w:rPr>
        <w:t xml:space="preserve"> </w:t>
      </w:r>
      <w:r w:rsidRPr="00977945">
        <w:rPr>
          <w:lang w:val="pl-PL"/>
        </w:rPr>
        <w:t>Rząd twierdził, że niniejsza sprawa dotyczyła „pojedynczego” postępowania, które zostało ostatecznie rozstrzygnięte wyrokiem wydanym przez sąd apelacyjny w Gałaczu w dniu 14 czerwca 2010 r., a nie dwóch odrębnych postępowań łączących się w spójną całość.</w:t>
      </w:r>
    </w:p>
    <w:p w14:paraId="2E4580DF" w14:textId="66E051A8" w:rsidR="009E53C0" w:rsidRPr="00977945" w:rsidRDefault="009E53C0" w:rsidP="000D30FE">
      <w:pPr>
        <w:pStyle w:val="ECHRPara"/>
        <w:rPr>
          <w:lang w:val="pl-PL"/>
        </w:rPr>
      </w:pPr>
      <w:bookmarkStart w:id="62" w:name="P75"/>
      <w:r w:rsidRPr="00977945">
        <w:rPr>
          <w:lang w:val="pl-PL"/>
        </w:rPr>
        <w:t>70</w:t>
      </w:r>
      <w:bookmarkEnd w:id="62"/>
      <w:r w:rsidRPr="00977945">
        <w:rPr>
          <w:lang w:val="pl-PL"/>
        </w:rPr>
        <w:t>.</w:t>
      </w:r>
      <w:r>
        <w:rPr>
          <w:lang w:val="pl-PL"/>
        </w:rPr>
        <w:t xml:space="preserve"> </w:t>
      </w:r>
      <w:r w:rsidRPr="00977945">
        <w:rPr>
          <w:lang w:val="pl-PL"/>
        </w:rPr>
        <w:t>Zgodnie ze stanowiskiem Rządu, postanowienie prokuratora z dnia 7</w:t>
      </w:r>
      <w:r w:rsidR="001F5A65">
        <w:rPr>
          <w:lang w:val="pl-PL"/>
        </w:rPr>
        <w:t> </w:t>
      </w:r>
      <w:r w:rsidRPr="00977945">
        <w:rPr>
          <w:lang w:val="pl-PL"/>
        </w:rPr>
        <w:t>sierpnia 2008 r. było równoznaczne z umorzeniem postępowania i nie było prawomocne. Chociaż od postanowienia skarżący mógł się odwołać w</w:t>
      </w:r>
      <w:r w:rsidR="001F5A65">
        <w:rPr>
          <w:lang w:val="pl-PL"/>
        </w:rPr>
        <w:t> </w:t>
      </w:r>
      <w:r w:rsidRPr="00977945">
        <w:rPr>
          <w:lang w:val="pl-PL"/>
        </w:rPr>
        <w:t xml:space="preserve">terminie dwudziestu dni od dnia, w którym został o nim powiadomiony, okoliczność ta była niewystarczająca do stwierdzenia, że przedmiotowe postanowienie stało się prawomocne. Odwołując się do postanowień wydanych przez Trybunał w sprawach </w:t>
      </w:r>
      <w:r w:rsidRPr="00977945">
        <w:rPr>
          <w:i/>
          <w:iCs/>
          <w:lang w:val="pl-PL"/>
        </w:rPr>
        <w:t>Horciag przeciwko Rumunii</w:t>
      </w:r>
      <w:r w:rsidRPr="00977945">
        <w:rPr>
          <w:lang w:val="pl-PL"/>
        </w:rPr>
        <w:t xml:space="preserve"> ((dec.), nr 70982/01, 15 marca 2005 r.), oraz </w:t>
      </w:r>
      <w:r w:rsidRPr="00977945">
        <w:rPr>
          <w:i/>
          <w:iCs/>
          <w:lang w:val="pl-PL"/>
        </w:rPr>
        <w:t xml:space="preserve">Sundqvist przeciwko Finlandii </w:t>
      </w:r>
      <w:r w:rsidRPr="00977945">
        <w:rPr>
          <w:lang w:val="pl-PL"/>
        </w:rPr>
        <w:t>((dec.), nr 75602/01, 22 listopada 2005 r.), Rząd stwierdził, że należy również wziąć pod uwagę możliwość przewidzianą w prawie krajowym, zgodnie z</w:t>
      </w:r>
      <w:r w:rsidR="000F46C5">
        <w:rPr>
          <w:lang w:val="pl-PL"/>
        </w:rPr>
        <w:t xml:space="preserve"> </w:t>
      </w:r>
      <w:r w:rsidRPr="00977945">
        <w:rPr>
          <w:lang w:val="pl-PL"/>
        </w:rPr>
        <w:t>którą prokurator wyższego szczebla może nakazać wznowienie postępowania karnego, którą to możliwość Rząd uznał za zwyczajny środek odwoławczy w</w:t>
      </w:r>
      <w:r w:rsidR="001F5A65">
        <w:rPr>
          <w:lang w:val="pl-PL"/>
        </w:rPr>
        <w:t> </w:t>
      </w:r>
      <w:r w:rsidRPr="00977945">
        <w:rPr>
          <w:lang w:val="pl-PL"/>
        </w:rPr>
        <w:t>rozumieniu odnośnego orzecznictwa Trybunału</w:t>
      </w:r>
      <w:bookmarkStart w:id="63" w:name="P76"/>
      <w:r w:rsidRPr="00977945">
        <w:rPr>
          <w:lang w:val="pl-PL"/>
        </w:rPr>
        <w:t>.</w:t>
      </w:r>
    </w:p>
    <w:p w14:paraId="3B6DB4AB" w14:textId="62458F49" w:rsidR="009E53C0" w:rsidRPr="00977945" w:rsidRDefault="009E53C0" w:rsidP="000D30FE">
      <w:pPr>
        <w:pStyle w:val="ECHRPara"/>
        <w:rPr>
          <w:lang w:val="pl-PL"/>
        </w:rPr>
      </w:pPr>
      <w:r w:rsidRPr="00977945">
        <w:rPr>
          <w:lang w:val="pl-PL"/>
        </w:rPr>
        <w:t>71</w:t>
      </w:r>
      <w:bookmarkEnd w:id="63"/>
      <w:r w:rsidRPr="00977945">
        <w:rPr>
          <w:lang w:val="pl-PL"/>
        </w:rPr>
        <w:t>.</w:t>
      </w:r>
      <w:r>
        <w:rPr>
          <w:lang w:val="pl-PL"/>
        </w:rPr>
        <w:t xml:space="preserve"> </w:t>
      </w:r>
      <w:r w:rsidRPr="00977945">
        <w:rPr>
          <w:lang w:val="pl-PL"/>
        </w:rPr>
        <w:t>W tej kwestii Rząd podniósł przede wszystkim, że zgodnie z</w:t>
      </w:r>
      <w:r w:rsidR="001F5A65">
        <w:rPr>
          <w:lang w:val="pl-PL"/>
        </w:rPr>
        <w:t> </w:t>
      </w:r>
      <w:r w:rsidRPr="00977945">
        <w:rPr>
          <w:lang w:val="pl-PL"/>
        </w:rPr>
        <w:t>informacjami uzyskanymi od niektórych sądów krajowych, decyzje o</w:t>
      </w:r>
      <w:r w:rsidR="001F5A65">
        <w:rPr>
          <w:lang w:val="pl-PL"/>
        </w:rPr>
        <w:t> </w:t>
      </w:r>
      <w:r w:rsidRPr="00977945">
        <w:rPr>
          <w:lang w:val="pl-PL"/>
        </w:rPr>
        <w:t>umorzeniu lub zakończeniu postępowania karnego były bardzo rzadko uchylane zarówno przez prokuratorów, jak i sędziów. Rząd podkreślił, że</w:t>
      </w:r>
      <w:r w:rsidR="001F5A65">
        <w:rPr>
          <w:lang w:val="pl-PL"/>
        </w:rPr>
        <w:t> </w:t>
      </w:r>
      <w:r w:rsidRPr="00977945">
        <w:rPr>
          <w:lang w:val="pl-PL"/>
        </w:rPr>
        <w:t xml:space="preserve">liczba spraw, w których prokurator uchylił decyzję </w:t>
      </w:r>
      <w:r w:rsidRPr="00977945">
        <w:rPr>
          <w:i/>
          <w:iCs/>
          <w:lang w:val="pl-PL"/>
        </w:rPr>
        <w:t>motu proprio</w:t>
      </w:r>
      <w:r w:rsidRPr="00977945">
        <w:rPr>
          <w:lang w:val="pl-PL"/>
        </w:rPr>
        <w:t>, jest</w:t>
      </w:r>
      <w:r w:rsidR="001F5A65">
        <w:rPr>
          <w:lang w:val="pl-PL"/>
        </w:rPr>
        <w:t> </w:t>
      </w:r>
      <w:r w:rsidRPr="00977945">
        <w:rPr>
          <w:lang w:val="pl-PL"/>
        </w:rPr>
        <w:t xml:space="preserve">porównywalna z liczbą spraw, w których sędzia uczynił to na skutek zażalenia zainteresowanego na decyzję prokuratora. Podobna częstotliwość </w:t>
      </w:r>
      <w:r w:rsidRPr="00977945">
        <w:rPr>
          <w:lang w:val="pl-PL"/>
        </w:rPr>
        <w:lastRenderedPageBreak/>
        <w:t>korzystania z obu tych możliwości wskazywała, że możliwość wznowienia postępowania przez prokuratora wyższego szczebla należało uznać za mającą taki sam status prawny jak odwołanie wniesione przez poszkodowanego od decyzji prokuratora, czyli za zwyczajny środek odwoławczy. Powołując się na dane statystyczne dostarczone przez różne prokuratury krajowe, Rząd</w:t>
      </w:r>
      <w:r w:rsidR="001F5A65">
        <w:rPr>
          <w:lang w:val="pl-PL"/>
        </w:rPr>
        <w:t> </w:t>
      </w:r>
      <w:r w:rsidRPr="00977945">
        <w:rPr>
          <w:lang w:val="pl-PL"/>
        </w:rPr>
        <w:t>wyjaśnił, że odsetek spraw, w których decyzje o</w:t>
      </w:r>
      <w:r w:rsidR="000F46C5">
        <w:rPr>
          <w:lang w:val="pl-PL"/>
        </w:rPr>
        <w:t xml:space="preserve"> </w:t>
      </w:r>
      <w:r w:rsidRPr="00977945">
        <w:rPr>
          <w:lang w:val="pl-PL"/>
        </w:rPr>
        <w:t>umorzeniu lub</w:t>
      </w:r>
      <w:r w:rsidR="001F5A65">
        <w:rPr>
          <w:lang w:val="pl-PL"/>
        </w:rPr>
        <w:t> </w:t>
      </w:r>
      <w:r w:rsidRPr="00977945">
        <w:rPr>
          <w:lang w:val="pl-PL"/>
        </w:rPr>
        <w:t>zakończeniu postępowania karnego zostały uchylone przez prokuratora lub sędziego</w:t>
      </w:r>
      <w:r w:rsidR="002F64EA">
        <w:rPr>
          <w:lang w:val="pl-PL"/>
        </w:rPr>
        <w:t>,</w:t>
      </w:r>
      <w:r w:rsidRPr="00977945">
        <w:rPr>
          <w:lang w:val="pl-PL"/>
        </w:rPr>
        <w:t xml:space="preserve"> był bardzo niski i wynosił około 1%. Odsetek przypadków, w</w:t>
      </w:r>
      <w:r w:rsidR="001F5A65">
        <w:rPr>
          <w:lang w:val="pl-PL"/>
        </w:rPr>
        <w:t> </w:t>
      </w:r>
      <w:r w:rsidRPr="00977945">
        <w:rPr>
          <w:lang w:val="pl-PL"/>
        </w:rPr>
        <w:t>których do takiego wyniku doprowadziła interwencja prokuratora, był</w:t>
      </w:r>
      <w:r w:rsidR="001F5A65">
        <w:rPr>
          <w:lang w:val="pl-PL"/>
        </w:rPr>
        <w:t> </w:t>
      </w:r>
      <w:r w:rsidRPr="00977945">
        <w:rPr>
          <w:lang w:val="pl-PL"/>
        </w:rPr>
        <w:t>jeszcze niższy i wynosił poniżej 0,5%.</w:t>
      </w:r>
    </w:p>
    <w:p w14:paraId="7AB8D84D" w14:textId="323E1DD0" w:rsidR="009E53C0" w:rsidRPr="00977945" w:rsidRDefault="009E53C0" w:rsidP="000D30FE">
      <w:pPr>
        <w:pStyle w:val="ECHRPara"/>
        <w:rPr>
          <w:lang w:val="pl-PL"/>
        </w:rPr>
      </w:pPr>
      <w:r w:rsidRPr="00977945">
        <w:rPr>
          <w:lang w:val="pl-PL"/>
        </w:rPr>
        <w:t>72.</w:t>
      </w:r>
      <w:r>
        <w:rPr>
          <w:lang w:val="pl-PL"/>
        </w:rPr>
        <w:t xml:space="preserve"> </w:t>
      </w:r>
      <w:r w:rsidRPr="00977945">
        <w:rPr>
          <w:lang w:val="pl-PL"/>
        </w:rPr>
        <w:t xml:space="preserve">Zdaniem Rządu niewielką liczbę przypadków, w których prokurator interweniował </w:t>
      </w:r>
      <w:r w:rsidRPr="00977945">
        <w:rPr>
          <w:i/>
          <w:iCs/>
          <w:lang w:val="pl-PL"/>
        </w:rPr>
        <w:t>motu proprio</w:t>
      </w:r>
      <w:r w:rsidRPr="00977945">
        <w:rPr>
          <w:lang w:val="pl-PL"/>
        </w:rPr>
        <w:t>, można wytłumaczyć, po pierwsze, potrzebą uniknięcia podważenia zaufania publicznego do jakości pracy wykonywanej przez prokuratorów, a po drugie, wymogiem zachowania równowagi pomiędzy celem, do którego dąży się poprzez uchylenie pierwotnej decyzji, a stabilnością sytuacji prawnych powstałych w wyniku tej decyzji. W</w:t>
      </w:r>
      <w:r w:rsidR="001F5A65">
        <w:rPr>
          <w:lang w:val="pl-PL"/>
        </w:rPr>
        <w:t> </w:t>
      </w:r>
      <w:r w:rsidRPr="00977945">
        <w:rPr>
          <w:lang w:val="pl-PL"/>
        </w:rPr>
        <w:t>niniejszej sprawie prokurator wyższego szczebla podjął interwencję bezzwłocznie, około pięć miesięcy po wydaniu postanowienia z dnia 7</w:t>
      </w:r>
      <w:r w:rsidR="001F5A65">
        <w:rPr>
          <w:lang w:val="pl-PL"/>
        </w:rPr>
        <w:t> </w:t>
      </w:r>
      <w:r w:rsidRPr="00977945">
        <w:rPr>
          <w:lang w:val="pl-PL"/>
        </w:rPr>
        <w:t>sierpnia 2008 r.</w:t>
      </w:r>
    </w:p>
    <w:p w14:paraId="204EF1C5" w14:textId="560DF007" w:rsidR="009E53C0" w:rsidRPr="00977945" w:rsidRDefault="009E53C0" w:rsidP="000D30FE">
      <w:pPr>
        <w:pStyle w:val="ECHRPara"/>
        <w:rPr>
          <w:lang w:val="pl-PL"/>
        </w:rPr>
      </w:pPr>
      <w:r w:rsidRPr="00977945">
        <w:rPr>
          <w:lang w:val="pl-PL"/>
        </w:rPr>
        <w:t>73.</w:t>
      </w:r>
      <w:r>
        <w:rPr>
          <w:lang w:val="pl-PL"/>
        </w:rPr>
        <w:t xml:space="preserve"> </w:t>
      </w:r>
      <w:r w:rsidRPr="00977945">
        <w:rPr>
          <w:lang w:val="pl-PL"/>
        </w:rPr>
        <w:t>Opierając się na orzecznictwie Trybunału (cytując wyroki w</w:t>
      </w:r>
      <w:r w:rsidR="000F46C5">
        <w:rPr>
          <w:lang w:val="pl-PL"/>
        </w:rPr>
        <w:t xml:space="preserve"> </w:t>
      </w:r>
      <w:r w:rsidRPr="00977945">
        <w:rPr>
          <w:lang w:val="pl-PL"/>
        </w:rPr>
        <w:t xml:space="preserve">sprawach </w:t>
      </w:r>
      <w:r w:rsidRPr="00977945">
        <w:rPr>
          <w:i/>
          <w:iCs/>
          <w:lang w:val="pl-PL"/>
        </w:rPr>
        <w:t xml:space="preserve">Smirnova i Smirnova przeciwko Rosji </w:t>
      </w:r>
      <w:r w:rsidRPr="00977945">
        <w:rPr>
          <w:lang w:val="pl-PL"/>
        </w:rPr>
        <w:t>(dec.), nr 46133/99 i</w:t>
      </w:r>
      <w:r w:rsidR="000F46C5">
        <w:rPr>
          <w:lang w:val="pl-PL"/>
        </w:rPr>
        <w:t xml:space="preserve"> </w:t>
      </w:r>
      <w:r w:rsidRPr="00977945">
        <w:rPr>
          <w:lang w:val="pl-PL"/>
        </w:rPr>
        <w:t>48183/99, 3</w:t>
      </w:r>
      <w:r w:rsidR="001F5A65">
        <w:rPr>
          <w:lang w:val="pl-PL"/>
        </w:rPr>
        <w:t> </w:t>
      </w:r>
      <w:r w:rsidRPr="00977945">
        <w:rPr>
          <w:lang w:val="pl-PL"/>
        </w:rPr>
        <w:t xml:space="preserve">października 2002 r., oraz </w:t>
      </w:r>
      <w:r w:rsidRPr="00977945">
        <w:rPr>
          <w:i/>
          <w:iCs/>
          <w:lang w:val="pl-PL"/>
        </w:rPr>
        <w:t>Harutyunyan przeciwko Armenii</w:t>
      </w:r>
      <w:r w:rsidRPr="00977945">
        <w:rPr>
          <w:lang w:val="pl-PL"/>
        </w:rPr>
        <w:t xml:space="preserve"> (dec.), nr</w:t>
      </w:r>
      <w:r w:rsidR="001F5A65">
        <w:rPr>
          <w:lang w:val="pl-PL"/>
        </w:rPr>
        <w:t> </w:t>
      </w:r>
      <w:r w:rsidRPr="00977945">
        <w:rPr>
          <w:lang w:val="pl-PL"/>
        </w:rPr>
        <w:t xml:space="preserve">34334/04, 7 grudnia 2006 r.), Rząd twierdził, że tylko decyzje rozstrzygające sprawę co do istoty mogą </w:t>
      </w:r>
      <w:r w:rsidR="009968D4">
        <w:rPr>
          <w:lang w:val="pl-PL"/>
        </w:rPr>
        <w:t xml:space="preserve">tworzyć </w:t>
      </w:r>
      <w:r w:rsidRPr="00977945">
        <w:rPr>
          <w:lang w:val="pl-PL"/>
        </w:rPr>
        <w:t>powagę rzeczy osądzonej oraz że umorzenie postępowania karnego przez prokuratora nie jest równoznaczne ani z wyrokiem skazującym, ani z uniewinnieniem. Zgodnie z</w:t>
      </w:r>
      <w:r w:rsidR="001F5A65">
        <w:rPr>
          <w:lang w:val="pl-PL"/>
        </w:rPr>
        <w:t> </w:t>
      </w:r>
      <w:r w:rsidRPr="00977945">
        <w:rPr>
          <w:lang w:val="pl-PL"/>
        </w:rPr>
        <w:t xml:space="preserve">prawem krajowym jedynie decyzje sądu, a nie postanowienia prokuratora, były uznawane za </w:t>
      </w:r>
      <w:r w:rsidR="009968D4">
        <w:rPr>
          <w:lang w:val="pl-PL"/>
        </w:rPr>
        <w:t>tworzą</w:t>
      </w:r>
      <w:r w:rsidRPr="00977945">
        <w:rPr>
          <w:lang w:val="pl-PL"/>
        </w:rPr>
        <w:t>ce powagę rzeczy osądzonej (zob. paragrafy 34 i</w:t>
      </w:r>
      <w:r w:rsidR="000F46C5">
        <w:rPr>
          <w:lang w:val="pl-PL"/>
        </w:rPr>
        <w:t xml:space="preserve"> </w:t>
      </w:r>
      <w:r w:rsidRPr="00977945">
        <w:rPr>
          <w:lang w:val="pl-PL"/>
        </w:rPr>
        <w:t>35 powyżej).</w:t>
      </w:r>
      <w:r>
        <w:rPr>
          <w:lang w:val="pl-PL"/>
        </w:rPr>
        <w:t xml:space="preserve"> </w:t>
      </w:r>
    </w:p>
    <w:p w14:paraId="0F9DC658" w14:textId="77777777" w:rsidR="009E53C0" w:rsidRPr="00977945" w:rsidRDefault="009E53C0" w:rsidP="000D30FE">
      <w:pPr>
        <w:pStyle w:val="ECHRPara"/>
        <w:rPr>
          <w:lang w:val="pl-PL"/>
        </w:rPr>
      </w:pPr>
      <w:r w:rsidRPr="00977945">
        <w:rPr>
          <w:lang w:val="pl-PL"/>
        </w:rPr>
        <w:t>74.</w:t>
      </w:r>
      <w:r>
        <w:rPr>
          <w:lang w:val="pl-PL"/>
        </w:rPr>
        <w:t xml:space="preserve"> </w:t>
      </w:r>
      <w:r w:rsidRPr="00977945">
        <w:rPr>
          <w:lang w:val="pl-PL"/>
        </w:rPr>
        <w:t>Rząd wyjaśnił również, że wykonanie – dobrowolne lub nie – kary nałożonej postanowieniem prokuratora nie miało wpływu na charakter tego postanowienia: prawo krajowe nie nakazywało, aby wykonanie takiej kary wykluczało wznowienie postępowania karnego. Uchylając tego rodzaju postanowienie, prokurator wyższego szczebla uchylił również karę.</w:t>
      </w:r>
    </w:p>
    <w:p w14:paraId="32CEE527" w14:textId="5C470AA7" w:rsidR="009E53C0" w:rsidRPr="00977945" w:rsidRDefault="009E53C0" w:rsidP="000D30FE">
      <w:pPr>
        <w:pStyle w:val="ECHRPara"/>
        <w:rPr>
          <w:lang w:val="pl-PL"/>
        </w:rPr>
      </w:pPr>
      <w:bookmarkStart w:id="64" w:name="P80"/>
      <w:r w:rsidRPr="00977945">
        <w:rPr>
          <w:lang w:val="pl-PL"/>
        </w:rPr>
        <w:t>75</w:t>
      </w:r>
      <w:bookmarkEnd w:id="64"/>
      <w:r w:rsidRPr="00977945">
        <w:rPr>
          <w:lang w:val="pl-PL"/>
        </w:rPr>
        <w:t>.</w:t>
      </w:r>
      <w:r>
        <w:rPr>
          <w:lang w:val="pl-PL"/>
        </w:rPr>
        <w:t xml:space="preserve"> </w:t>
      </w:r>
      <w:r w:rsidRPr="00977945">
        <w:rPr>
          <w:lang w:val="pl-PL"/>
        </w:rPr>
        <w:t>Rząd podniósł, że nawet z perspektywy orzecznictwa TSUE, postanowienie z dnia 7 sierpnia 2008 r. nie stanowiło decyzji „prawomocnej”. Odwołując się do wyroków wydanych przez TSUE (np. wyroków wydanych odpowiednio 29 czerwca 2016 r. i 22 grudnia 2008 r. w</w:t>
      </w:r>
      <w:r w:rsidR="000F46C5">
        <w:rPr>
          <w:lang w:val="pl-PL"/>
        </w:rPr>
        <w:t xml:space="preserve"> </w:t>
      </w:r>
      <w:r w:rsidRPr="00977945">
        <w:rPr>
          <w:lang w:val="pl-PL"/>
        </w:rPr>
        <w:t xml:space="preserve">sprawach </w:t>
      </w:r>
      <w:r w:rsidRPr="00977945">
        <w:rPr>
          <w:i/>
          <w:iCs/>
          <w:lang w:val="pl-PL"/>
        </w:rPr>
        <w:t xml:space="preserve">Kossowski przeciwko Generalstaatwaltschaft Hamburg </w:t>
      </w:r>
      <w:r w:rsidRPr="00977945">
        <w:rPr>
          <w:lang w:val="pl-PL"/>
        </w:rPr>
        <w:t xml:space="preserve">(C-486/14, EU:C:2016:483), oraz </w:t>
      </w:r>
      <w:r w:rsidRPr="00977945">
        <w:rPr>
          <w:i/>
          <w:iCs/>
          <w:lang w:val="pl-PL"/>
        </w:rPr>
        <w:t xml:space="preserve">Vladimir Turanský </w:t>
      </w:r>
      <w:r w:rsidRPr="00977945">
        <w:rPr>
          <w:lang w:val="pl-PL"/>
        </w:rPr>
        <w:t>(C-491/07, EU:C:2008:768)), Rząd wyjaśnił, że aby dana osoba mogła zostać uznana za kogoś, kogo proces został „</w:t>
      </w:r>
      <w:r w:rsidR="00625969">
        <w:rPr>
          <w:lang w:val="pl-PL"/>
        </w:rPr>
        <w:t>prawomocnie</w:t>
      </w:r>
      <w:r w:rsidRPr="00977945">
        <w:rPr>
          <w:lang w:val="pl-PL"/>
        </w:rPr>
        <w:t xml:space="preserve"> </w:t>
      </w:r>
      <w:r w:rsidRPr="009B6205">
        <w:rPr>
          <w:lang w:val="pl-PL"/>
        </w:rPr>
        <w:t xml:space="preserve">zakończony”, konieczne jest przede wszystkim, aby dalsze ściganie uległo „ostatecznemu wygaśnięciu”, którą to kwestię należy oceniać na podstawie prawa Układającej się Strony, </w:t>
      </w:r>
      <w:r w:rsidR="00625969" w:rsidRPr="009B6205">
        <w:rPr>
          <w:lang w:val="pl-PL"/>
        </w:rPr>
        <w:t>w</w:t>
      </w:r>
      <w:r w:rsidRPr="009B6205">
        <w:rPr>
          <w:lang w:val="pl-PL"/>
        </w:rPr>
        <w:t xml:space="preserve"> której wydano przedmiotowe orzeczenie </w:t>
      </w:r>
      <w:r w:rsidRPr="009B6205">
        <w:rPr>
          <w:lang w:val="pl-PL"/>
        </w:rPr>
        <w:lastRenderedPageBreak/>
        <w:t>na</w:t>
      </w:r>
      <w:r w:rsidR="001F5A65">
        <w:rPr>
          <w:lang w:val="pl-PL"/>
        </w:rPr>
        <w:t> </w:t>
      </w:r>
      <w:r w:rsidRPr="009B6205">
        <w:rPr>
          <w:lang w:val="pl-PL"/>
        </w:rPr>
        <w:t xml:space="preserve">gruncie prawa karnego. Następnie, odwołując się do wyroków wydanych przez TSUE w sprawach </w:t>
      </w:r>
      <w:r w:rsidRPr="009B6205">
        <w:rPr>
          <w:i/>
          <w:iCs/>
          <w:lang w:val="pl-PL"/>
        </w:rPr>
        <w:t xml:space="preserve">Filomeno Mario Miraglia </w:t>
      </w:r>
      <w:r w:rsidRPr="009B6205">
        <w:rPr>
          <w:lang w:val="pl-PL"/>
        </w:rPr>
        <w:t>(10 marca 2005 r., C-</w:t>
      </w:r>
      <w:r w:rsidR="001F5A65">
        <w:rPr>
          <w:lang w:val="pl-PL"/>
        </w:rPr>
        <w:t> </w:t>
      </w:r>
      <w:r w:rsidRPr="009B6205">
        <w:rPr>
          <w:lang w:val="pl-PL"/>
        </w:rPr>
        <w:t xml:space="preserve">469/03, EU:C:2005:156); </w:t>
      </w:r>
      <w:r w:rsidRPr="009B6205">
        <w:rPr>
          <w:i/>
          <w:iCs/>
          <w:lang w:val="pl-PL"/>
        </w:rPr>
        <w:t>M.</w:t>
      </w:r>
      <w:r w:rsidRPr="009B6205">
        <w:rPr>
          <w:lang w:val="pl-PL"/>
        </w:rPr>
        <w:t xml:space="preserve"> (5 czerwca 2014 r., C-398/12, EU:C:2014:1057); oraz </w:t>
      </w:r>
      <w:r w:rsidRPr="009B6205">
        <w:rPr>
          <w:i/>
          <w:iCs/>
          <w:lang w:val="pl-PL"/>
        </w:rPr>
        <w:t>Kossowski</w:t>
      </w:r>
      <w:r w:rsidRPr="009B6205">
        <w:rPr>
          <w:lang w:val="pl-PL"/>
        </w:rPr>
        <w:t xml:space="preserve"> (</w:t>
      </w:r>
      <w:r w:rsidRPr="009B6205">
        <w:rPr>
          <w:i/>
          <w:iCs/>
          <w:lang w:val="pl-PL"/>
        </w:rPr>
        <w:t>op. cit.</w:t>
      </w:r>
      <w:r w:rsidRPr="009B6205">
        <w:rPr>
          <w:lang w:val="pl-PL"/>
        </w:rPr>
        <w:t>), Rząd zauważył, że TSUE orzekł, iż nawet w przypadku, gdy zgodnie z prawem krajowym dalsze ściganie uległo ostatecznemu wygaśnięciu w drodze</w:t>
      </w:r>
      <w:r w:rsidRPr="00977945">
        <w:rPr>
          <w:lang w:val="pl-PL"/>
        </w:rPr>
        <w:t xml:space="preserve"> decyzji, decyzja ta</w:t>
      </w:r>
      <w:r w:rsidR="001F5A65">
        <w:rPr>
          <w:lang w:val="pl-PL"/>
        </w:rPr>
        <w:t> </w:t>
      </w:r>
      <w:r w:rsidRPr="00977945">
        <w:rPr>
          <w:lang w:val="pl-PL"/>
        </w:rPr>
        <w:t>kwalifikuje się jako „prawomocna” tylko wtedy, gdy została wydana po</w:t>
      </w:r>
      <w:r w:rsidR="001F5A65">
        <w:rPr>
          <w:lang w:val="pl-PL"/>
        </w:rPr>
        <w:t> </w:t>
      </w:r>
      <w:r w:rsidRPr="00977945">
        <w:rPr>
          <w:lang w:val="pl-PL"/>
        </w:rPr>
        <w:t>dokonaniu ustaleń co do istoty sprawy. W niniejszej sprawie możliwość wydania przez prokuraturę postanowienia na podstawie art. 10 (b</w:t>
      </w:r>
      <w:r w:rsidRPr="00977945">
        <w:rPr>
          <w:vertAlign w:val="superscript"/>
          <w:lang w:val="pl-PL"/>
        </w:rPr>
        <w:t>1</w:t>
      </w:r>
      <w:r w:rsidRPr="00977945">
        <w:rPr>
          <w:lang w:val="pl-PL"/>
        </w:rPr>
        <w:t>) kpk bez</w:t>
      </w:r>
      <w:r w:rsidR="001F5A65">
        <w:rPr>
          <w:lang w:val="pl-PL"/>
        </w:rPr>
        <w:t> </w:t>
      </w:r>
      <w:r w:rsidRPr="00977945">
        <w:rPr>
          <w:lang w:val="pl-PL"/>
        </w:rPr>
        <w:t>ustalenia wszystkich aspektów postępowania karnego (zob. paragraf 33 powyżej) przemawiała za uznaniem postanowienia prokuratora z dnia 7</w:t>
      </w:r>
      <w:r w:rsidR="001F5A65">
        <w:rPr>
          <w:lang w:val="pl-PL"/>
        </w:rPr>
        <w:t> </w:t>
      </w:r>
      <w:r w:rsidRPr="00977945">
        <w:rPr>
          <w:lang w:val="pl-PL"/>
        </w:rPr>
        <w:t>sierpnia 2008 r. za „nieprawomocne”. Ponadto art. 273 § 1 kpk nie</w:t>
      </w:r>
      <w:r w:rsidR="001F5A65">
        <w:rPr>
          <w:lang w:val="pl-PL"/>
        </w:rPr>
        <w:t> </w:t>
      </w:r>
      <w:r w:rsidRPr="00977945">
        <w:rPr>
          <w:lang w:val="pl-PL"/>
        </w:rPr>
        <w:t>ograniczał wznowienia postępowania do wyjątkowych okoliczności ani</w:t>
      </w:r>
      <w:r w:rsidR="001F5A65">
        <w:rPr>
          <w:lang w:val="pl-PL"/>
        </w:rPr>
        <w:t> </w:t>
      </w:r>
      <w:r w:rsidRPr="00977945">
        <w:rPr>
          <w:lang w:val="pl-PL"/>
        </w:rPr>
        <w:t>nie uzależniał go od odkrycia nowych dowodów: wznowienie mogło zostać nakazane w każdym przypadku, gdy prokurator wyższego szczebla stwierdził, że postępowanie zostało umorzone z powodu nieistniejących podstaw faktycznych lub prawnych.</w:t>
      </w:r>
    </w:p>
    <w:p w14:paraId="4639D213" w14:textId="2576DCD5" w:rsidR="009E53C0" w:rsidRPr="00977945" w:rsidRDefault="009E53C0" w:rsidP="000D30FE">
      <w:pPr>
        <w:pStyle w:val="ECHRPara"/>
        <w:rPr>
          <w:lang w:val="pl-PL"/>
        </w:rPr>
      </w:pPr>
      <w:bookmarkStart w:id="65" w:name="P81"/>
      <w:r w:rsidRPr="00977945">
        <w:rPr>
          <w:lang w:val="pl-PL"/>
        </w:rPr>
        <w:t>76</w:t>
      </w:r>
      <w:bookmarkEnd w:id="65"/>
      <w:r w:rsidRPr="00977945">
        <w:rPr>
          <w:lang w:val="pl-PL"/>
        </w:rPr>
        <w:t>.</w:t>
      </w:r>
      <w:r>
        <w:rPr>
          <w:lang w:val="pl-PL"/>
        </w:rPr>
        <w:t xml:space="preserve"> </w:t>
      </w:r>
      <w:r w:rsidRPr="00977945">
        <w:rPr>
          <w:lang w:val="pl-PL"/>
        </w:rPr>
        <w:t>Wreszcie Rząd twierdził, że nawet założywszy, iż postanowienie prokuratury z dnia 7 sierpnia 2008 r. stanowiło prawomocną decyzję, postanowienie wydane przez prokuraturę wyższego szczebla w dniu 7</w:t>
      </w:r>
      <w:r w:rsidR="001F5A65">
        <w:rPr>
          <w:lang w:val="pl-PL"/>
        </w:rPr>
        <w:t> </w:t>
      </w:r>
      <w:r w:rsidRPr="00977945">
        <w:rPr>
          <w:lang w:val="pl-PL"/>
        </w:rPr>
        <w:t>stycznia 2009 r. nie doprowadziło do ponownego oskarżenia, lecz do</w:t>
      </w:r>
      <w:r w:rsidR="001F5A65">
        <w:rPr>
          <w:lang w:val="pl-PL"/>
        </w:rPr>
        <w:t> </w:t>
      </w:r>
      <w:r w:rsidRPr="00977945">
        <w:rPr>
          <w:lang w:val="pl-PL"/>
        </w:rPr>
        <w:t xml:space="preserve">wznowienia postępowania w rozumieniu art. 4 ust. 2 Protokołu nr 7. Wznowienie postępowania było uzasadnione </w:t>
      </w:r>
      <w:r w:rsidR="00A41C35">
        <w:rPr>
          <w:lang w:val="pl-PL"/>
        </w:rPr>
        <w:t xml:space="preserve">dopuszczeniem się do </w:t>
      </w:r>
      <w:r w:rsidR="00A41C35" w:rsidRPr="00A41C35">
        <w:rPr>
          <w:lang w:val="pl-PL"/>
        </w:rPr>
        <w:t>rażącego uchybienia</w:t>
      </w:r>
      <w:r w:rsidR="00A41C35" w:rsidRPr="00977945">
        <w:rPr>
          <w:lang w:val="pl-PL"/>
        </w:rPr>
        <w:t xml:space="preserve"> </w:t>
      </w:r>
      <w:r w:rsidRPr="00977945">
        <w:rPr>
          <w:lang w:val="pl-PL"/>
        </w:rPr>
        <w:t>w uprzednio wydanym postanowieniu. Odnosząc się do</w:t>
      </w:r>
      <w:r w:rsidR="001F5A65">
        <w:rPr>
          <w:lang w:val="pl-PL"/>
        </w:rPr>
        <w:t> </w:t>
      </w:r>
      <w:r w:rsidRPr="00977945">
        <w:rPr>
          <w:lang w:val="pl-PL"/>
        </w:rPr>
        <w:t>memorandum Prokuratora Generalnego z dnia 17 stycznia 2013 r. (zob.</w:t>
      </w:r>
      <w:r w:rsidR="001F5A65">
        <w:rPr>
          <w:lang w:val="pl-PL"/>
        </w:rPr>
        <w:t> </w:t>
      </w:r>
      <w:r w:rsidRPr="00977945">
        <w:rPr>
          <w:lang w:val="pl-PL"/>
        </w:rPr>
        <w:t>paragraf 27 powyżej), Rząd wyjaśnił, że nadzór prokuratora wyższego szczebla nad decyzjami podejmowanymi przez podległych mu prokuratorów miał na celu m.in. standaryzacj</w:t>
      </w:r>
      <w:r w:rsidR="005E2F2A">
        <w:rPr>
          <w:lang w:val="pl-PL"/>
        </w:rPr>
        <w:t>ę</w:t>
      </w:r>
      <w:r w:rsidRPr="00977945">
        <w:rPr>
          <w:lang w:val="pl-PL"/>
        </w:rPr>
        <w:t xml:space="preserve"> praktyki prokuratur, w</w:t>
      </w:r>
      <w:r w:rsidR="000F46C5">
        <w:rPr>
          <w:lang w:val="pl-PL"/>
        </w:rPr>
        <w:t xml:space="preserve"> </w:t>
      </w:r>
      <w:r w:rsidRPr="00977945">
        <w:rPr>
          <w:lang w:val="pl-PL"/>
        </w:rPr>
        <w:t>szczególności pod względem oceny stopnia zagrożenia dla społeczeństwa, jakie stwarza wykroczenie lub przestępstwo drogowe. Nawet jeśli przedmiotowe memorandum zostało wydane po zaistnieniu okoliczności faktycznych w</w:t>
      </w:r>
      <w:r w:rsidR="001F5A65">
        <w:rPr>
          <w:lang w:val="pl-PL"/>
        </w:rPr>
        <w:t> </w:t>
      </w:r>
      <w:r w:rsidRPr="00977945">
        <w:rPr>
          <w:lang w:val="pl-PL"/>
        </w:rPr>
        <w:t>niniejszej sprawie, dowodzi ono, że</w:t>
      </w:r>
      <w:r w:rsidR="000F46C5">
        <w:rPr>
          <w:lang w:val="pl-PL"/>
        </w:rPr>
        <w:t xml:space="preserve"> </w:t>
      </w:r>
      <w:r w:rsidRPr="00977945">
        <w:rPr>
          <w:lang w:val="pl-PL"/>
        </w:rPr>
        <w:t>standaryzacja praktyki sądowej była przedmiotem stałej troski organów sądowych. Ponadto w przypadku tego rodzaju przestępstw z reguły nie było innych podmiotów zainteresowanych podważeniem decyzji prokuratora o</w:t>
      </w:r>
      <w:r w:rsidR="000F46C5">
        <w:rPr>
          <w:lang w:val="pl-PL"/>
        </w:rPr>
        <w:t xml:space="preserve"> </w:t>
      </w:r>
      <w:r w:rsidRPr="00977945">
        <w:rPr>
          <w:lang w:val="pl-PL"/>
        </w:rPr>
        <w:t>umorzeniu postępowania. Gdyby nie</w:t>
      </w:r>
      <w:r w:rsidR="001F5A65">
        <w:rPr>
          <w:lang w:val="pl-PL"/>
        </w:rPr>
        <w:t> </w:t>
      </w:r>
      <w:r w:rsidRPr="00977945">
        <w:rPr>
          <w:lang w:val="pl-PL"/>
        </w:rPr>
        <w:t>interwencja prokuratora wyższego szczebla, decyzja oparta na błędnej ocenie nie mogłaby zostać zmieniona.</w:t>
      </w:r>
    </w:p>
    <w:p w14:paraId="333CF2A1" w14:textId="293B91B0" w:rsidR="009E53C0" w:rsidRPr="00977945" w:rsidRDefault="009E53C0" w:rsidP="000D30FE">
      <w:pPr>
        <w:pStyle w:val="ECHRHeading5"/>
        <w:rPr>
          <w:lang w:val="pl-PL"/>
        </w:rPr>
      </w:pPr>
      <w:r w:rsidRPr="00977945">
        <w:rPr>
          <w:lang w:val="pl-PL"/>
        </w:rPr>
        <w:t>(ii)</w:t>
      </w:r>
      <w:r w:rsidR="000F46C5">
        <w:rPr>
          <w:lang w:val="pl-PL"/>
        </w:rPr>
        <w:t xml:space="preserve"> </w:t>
      </w:r>
      <w:r w:rsidRPr="00977945">
        <w:rPr>
          <w:lang w:val="pl-PL"/>
        </w:rPr>
        <w:t>Skarżący</w:t>
      </w:r>
    </w:p>
    <w:p w14:paraId="4434C828" w14:textId="6D0DD1C2" w:rsidR="009E53C0" w:rsidRPr="00977945" w:rsidRDefault="009E53C0" w:rsidP="000D30FE">
      <w:pPr>
        <w:pStyle w:val="ECHRPara"/>
        <w:rPr>
          <w:lang w:val="pl-PL"/>
        </w:rPr>
      </w:pPr>
      <w:r w:rsidRPr="00977945">
        <w:rPr>
          <w:lang w:val="pl-PL"/>
        </w:rPr>
        <w:t>77.</w:t>
      </w:r>
      <w:r>
        <w:rPr>
          <w:lang w:val="pl-PL"/>
        </w:rPr>
        <w:t xml:space="preserve"> </w:t>
      </w:r>
      <w:r w:rsidRPr="00977945">
        <w:rPr>
          <w:lang w:val="pl-PL"/>
        </w:rPr>
        <w:t>Skarżący podniósł, iż postanowienie prokuratury z dnia 7</w:t>
      </w:r>
      <w:r w:rsidR="000F46C5">
        <w:rPr>
          <w:lang w:val="pl-PL"/>
        </w:rPr>
        <w:t xml:space="preserve"> </w:t>
      </w:r>
      <w:r w:rsidRPr="00977945">
        <w:rPr>
          <w:lang w:val="pl-PL"/>
        </w:rPr>
        <w:t>sierpnia</w:t>
      </w:r>
      <w:r w:rsidR="000F46C5">
        <w:rPr>
          <w:lang w:val="pl-PL"/>
        </w:rPr>
        <w:t xml:space="preserve"> </w:t>
      </w:r>
      <w:r w:rsidRPr="00977945">
        <w:rPr>
          <w:lang w:val="pl-PL"/>
        </w:rPr>
        <w:t>2008 r. miało charakter orzeczenia prawomocnego w rozumieniu art. 4 Protokołu nr 7. Przede wszystkim skarżący zauważył, że w jego sprawie, w</w:t>
      </w:r>
      <w:r w:rsidR="001F5A65">
        <w:rPr>
          <w:lang w:val="pl-PL"/>
        </w:rPr>
        <w:t> </w:t>
      </w:r>
      <w:r w:rsidRPr="00977945">
        <w:rPr>
          <w:lang w:val="pl-PL"/>
        </w:rPr>
        <w:t xml:space="preserve">przeciwieństwie do sprawy </w:t>
      </w:r>
      <w:r w:rsidRPr="00977945">
        <w:rPr>
          <w:i/>
          <w:iCs/>
          <w:lang w:val="pl-PL"/>
        </w:rPr>
        <w:t xml:space="preserve">A i B przeciwko Norwegii </w:t>
      </w:r>
      <w:r w:rsidRPr="00977945">
        <w:rPr>
          <w:lang w:val="pl-PL"/>
        </w:rPr>
        <w:t>(</w:t>
      </w:r>
      <w:r w:rsidRPr="00977945">
        <w:rPr>
          <w:i/>
          <w:iCs/>
          <w:lang w:val="pl-PL"/>
        </w:rPr>
        <w:t>op.</w:t>
      </w:r>
      <w:r>
        <w:rPr>
          <w:i/>
          <w:iCs/>
          <w:lang w:val="pl-PL"/>
        </w:rPr>
        <w:t xml:space="preserve"> </w:t>
      </w:r>
      <w:r w:rsidRPr="00977945">
        <w:rPr>
          <w:i/>
          <w:iCs/>
          <w:lang w:val="pl-PL"/>
        </w:rPr>
        <w:t>cit.</w:t>
      </w:r>
      <w:r w:rsidRPr="00977945">
        <w:rPr>
          <w:lang w:val="pl-PL"/>
        </w:rPr>
        <w:t xml:space="preserve">), nie było dwóch komplementarnych postępowań realizujących różne cele społeczne. </w:t>
      </w:r>
      <w:r w:rsidRPr="00977945">
        <w:rPr>
          <w:lang w:val="pl-PL"/>
        </w:rPr>
        <w:lastRenderedPageBreak/>
        <w:t>Na poparcie tego twierdzenia wskazał, że w obu postępowaniach był on ścigany za to samo przestępstwo karane na podstawie tych samych przepisów oraz że przedstawione dowody były takie same. Drugie postępowanie w</w:t>
      </w:r>
      <w:r w:rsidR="001F5A65">
        <w:rPr>
          <w:lang w:val="pl-PL"/>
        </w:rPr>
        <w:t> </w:t>
      </w:r>
      <w:r w:rsidRPr="00977945">
        <w:rPr>
          <w:lang w:val="pl-PL"/>
        </w:rPr>
        <w:t>sposób nieprzewid</w:t>
      </w:r>
      <w:r w:rsidR="008A379E">
        <w:rPr>
          <w:lang w:val="pl-PL"/>
        </w:rPr>
        <w:t>ywalny</w:t>
      </w:r>
      <w:r w:rsidRPr="00977945">
        <w:rPr>
          <w:lang w:val="pl-PL"/>
        </w:rPr>
        <w:t xml:space="preserve"> unieważniło pierwsze postępowanie po upływie znacznego czasu, wykazując tym samym, że nie było dwóch komplementarnych postępowań.</w:t>
      </w:r>
    </w:p>
    <w:p w14:paraId="37EF6CD1" w14:textId="3E40550D" w:rsidR="009E53C0" w:rsidRPr="00977945" w:rsidRDefault="009E53C0" w:rsidP="000D30FE">
      <w:pPr>
        <w:pStyle w:val="ECHRPara"/>
        <w:rPr>
          <w:lang w:val="pl-PL"/>
        </w:rPr>
      </w:pPr>
      <w:bookmarkStart w:id="66" w:name="P83"/>
      <w:r w:rsidRPr="00977945">
        <w:rPr>
          <w:lang w:val="pl-PL"/>
        </w:rPr>
        <w:t>78</w:t>
      </w:r>
      <w:bookmarkEnd w:id="66"/>
      <w:r w:rsidRPr="00977945">
        <w:rPr>
          <w:lang w:val="pl-PL"/>
        </w:rPr>
        <w:t>.</w:t>
      </w:r>
      <w:r>
        <w:rPr>
          <w:lang w:val="pl-PL"/>
        </w:rPr>
        <w:t xml:space="preserve"> </w:t>
      </w:r>
      <w:r w:rsidRPr="00977945">
        <w:rPr>
          <w:lang w:val="pl-PL"/>
        </w:rPr>
        <w:t>Skarżący podniósł ponadto, że postanowienie prokuratora z dnia 7</w:t>
      </w:r>
      <w:r w:rsidR="001F5A65">
        <w:rPr>
          <w:lang w:val="pl-PL"/>
        </w:rPr>
        <w:t> </w:t>
      </w:r>
      <w:r w:rsidRPr="00977945">
        <w:rPr>
          <w:lang w:val="pl-PL"/>
        </w:rPr>
        <w:t>sierpnia 2008 r. stało się prawomocne, ponieważ nie odwołał się od niego w terminie przewidzianym w art. 249</w:t>
      </w:r>
      <w:r w:rsidRPr="00977945">
        <w:rPr>
          <w:vertAlign w:val="superscript"/>
          <w:lang w:val="pl-PL"/>
        </w:rPr>
        <w:t>1</w:t>
      </w:r>
      <w:r w:rsidRPr="00977945">
        <w:rPr>
          <w:lang w:val="pl-PL"/>
        </w:rPr>
        <w:t>, 278 i 278</w:t>
      </w:r>
      <w:r w:rsidRPr="00977945">
        <w:rPr>
          <w:vertAlign w:val="superscript"/>
          <w:lang w:val="pl-PL"/>
        </w:rPr>
        <w:t>1</w:t>
      </w:r>
      <w:r w:rsidRPr="00977945">
        <w:rPr>
          <w:lang w:val="pl-PL"/>
        </w:rPr>
        <w:t xml:space="preserve"> kpk na wniesienie środka zaskarżenia, i w konsekwencji grzywna została zapłacona. Zgodnie z</w:t>
      </w:r>
      <w:r w:rsidR="000F46C5">
        <w:rPr>
          <w:lang w:val="pl-PL"/>
        </w:rPr>
        <w:t xml:space="preserve"> </w:t>
      </w:r>
      <w:r w:rsidRPr="00977945">
        <w:rPr>
          <w:lang w:val="pl-PL"/>
        </w:rPr>
        <w:t>prawem krajowym zarówno sądy, jak i prokuratury były właściwe do stosowania art.</w:t>
      </w:r>
      <w:r w:rsidR="001F5A65">
        <w:rPr>
          <w:lang w:val="pl-PL"/>
        </w:rPr>
        <w:t> </w:t>
      </w:r>
      <w:r w:rsidRPr="00977945">
        <w:rPr>
          <w:lang w:val="pl-PL"/>
        </w:rPr>
        <w:t>18</w:t>
      </w:r>
      <w:r w:rsidRPr="00977945">
        <w:rPr>
          <w:vertAlign w:val="superscript"/>
          <w:lang w:val="pl-PL"/>
        </w:rPr>
        <w:t>1</w:t>
      </w:r>
      <w:r w:rsidRPr="00977945">
        <w:rPr>
          <w:lang w:val="pl-PL"/>
        </w:rPr>
        <w:t xml:space="preserve"> i 91 </w:t>
      </w:r>
      <w:r w:rsidR="000F46C5" w:rsidRPr="00977945">
        <w:rPr>
          <w:lang w:val="pl-PL"/>
        </w:rPr>
        <w:t xml:space="preserve">Kodeksu </w:t>
      </w:r>
      <w:r w:rsidRPr="00977945">
        <w:rPr>
          <w:lang w:val="pl-PL"/>
        </w:rPr>
        <w:t>karnego w brzmieniu obowiązującym w</w:t>
      </w:r>
      <w:r w:rsidR="000F46C5">
        <w:rPr>
          <w:lang w:val="pl-PL"/>
        </w:rPr>
        <w:t xml:space="preserve"> </w:t>
      </w:r>
      <w:r w:rsidRPr="00977945">
        <w:rPr>
          <w:lang w:val="pl-PL"/>
        </w:rPr>
        <w:t xml:space="preserve">czasie zaistnienia okoliczności faktycznych. W celu zastosowania tych przepisów, a przede wszystkim w celu nałożenia jednej z kar przewidzianych w art. 91 </w:t>
      </w:r>
      <w:r w:rsidR="000F46C5" w:rsidRPr="00977945">
        <w:rPr>
          <w:lang w:val="pl-PL"/>
        </w:rPr>
        <w:t xml:space="preserve">Kodeksu </w:t>
      </w:r>
      <w:r w:rsidRPr="00977945">
        <w:rPr>
          <w:lang w:val="pl-PL"/>
        </w:rPr>
        <w:t>karnego, organ właściwy był zobowiązany do przeprowadzenia szczegółowego dochodzenia w sprawie okoliczności faktycznych i oceny zachowania danej osoby. Odwołując się do wyroku TSUE wydanego w</w:t>
      </w:r>
      <w:r w:rsidR="001F5A65">
        <w:rPr>
          <w:lang w:val="pl-PL"/>
        </w:rPr>
        <w:t> </w:t>
      </w:r>
      <w:r w:rsidRPr="00977945">
        <w:rPr>
          <w:lang w:val="pl-PL"/>
        </w:rPr>
        <w:t xml:space="preserve">sprawie </w:t>
      </w:r>
      <w:r w:rsidRPr="00977945">
        <w:rPr>
          <w:i/>
          <w:iCs/>
          <w:lang w:val="pl-PL"/>
        </w:rPr>
        <w:t>Kossowski przeciwko</w:t>
      </w:r>
      <w:r w:rsidR="000F46C5">
        <w:rPr>
          <w:i/>
          <w:iCs/>
          <w:lang w:val="pl-PL"/>
        </w:rPr>
        <w:t xml:space="preserve"> </w:t>
      </w:r>
      <w:r w:rsidRPr="00977945">
        <w:rPr>
          <w:i/>
          <w:iCs/>
          <w:lang w:val="pl-PL"/>
        </w:rPr>
        <w:t>Generalstaatwaltschaft Hamburg</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skarżący stwierdził, że w niniejszej sprawie, wydając postanowienie z dnia 7</w:t>
      </w:r>
      <w:r w:rsidR="001F5A65">
        <w:rPr>
          <w:lang w:val="pl-PL"/>
        </w:rPr>
        <w:t> </w:t>
      </w:r>
      <w:r w:rsidRPr="00977945">
        <w:rPr>
          <w:lang w:val="pl-PL"/>
        </w:rPr>
        <w:t>sierpnia 2008 r., prokuratura przeprowadziła dogłębne dochodzenie: przesłuchała podejrzanego i świadka oraz dokonała własnej oceny okoliczności towarzyszących popełnieniu czynów, przed podjęciem decyzji o</w:t>
      </w:r>
      <w:r w:rsidR="000F46C5">
        <w:rPr>
          <w:lang w:val="pl-PL"/>
        </w:rPr>
        <w:t xml:space="preserve"> </w:t>
      </w:r>
      <w:r w:rsidRPr="00977945">
        <w:rPr>
          <w:lang w:val="pl-PL"/>
        </w:rPr>
        <w:t xml:space="preserve">najwłaściwszej karze, jaka powinna zostać nałożona w tej sprawie. Szczegółowy charakter dochodzenia </w:t>
      </w:r>
      <w:r w:rsidR="008A379E">
        <w:rPr>
          <w:lang w:val="pl-PL"/>
        </w:rPr>
        <w:t>oznacza</w:t>
      </w:r>
      <w:r w:rsidRPr="00977945">
        <w:rPr>
          <w:lang w:val="pl-PL"/>
        </w:rPr>
        <w:t>ł, że postanowienie z dnia 7</w:t>
      </w:r>
      <w:r w:rsidR="001F5A65">
        <w:rPr>
          <w:lang w:val="pl-PL"/>
        </w:rPr>
        <w:t> </w:t>
      </w:r>
      <w:r w:rsidRPr="00977945">
        <w:rPr>
          <w:lang w:val="pl-PL"/>
        </w:rPr>
        <w:t>sierpnia 2008 r. należy określić jako „prawomocne”.</w:t>
      </w:r>
    </w:p>
    <w:p w14:paraId="772E4FEF" w14:textId="450BA8EB" w:rsidR="009E53C0" w:rsidRPr="00977945" w:rsidRDefault="009E53C0" w:rsidP="000D30FE">
      <w:pPr>
        <w:pStyle w:val="ECHRPara"/>
        <w:rPr>
          <w:lang w:val="pl-PL"/>
        </w:rPr>
      </w:pPr>
      <w:r w:rsidRPr="00977945">
        <w:rPr>
          <w:lang w:val="pl-PL"/>
        </w:rPr>
        <w:t>79.</w:t>
      </w:r>
      <w:r>
        <w:rPr>
          <w:lang w:val="pl-PL"/>
        </w:rPr>
        <w:t xml:space="preserve"> </w:t>
      </w:r>
      <w:r w:rsidRPr="00977945">
        <w:rPr>
          <w:lang w:val="pl-PL"/>
        </w:rPr>
        <w:t>Skarżący dodał, że zgodnie z art. 249</w:t>
      </w:r>
      <w:r w:rsidRPr="00977945">
        <w:rPr>
          <w:vertAlign w:val="superscript"/>
          <w:lang w:val="pl-PL"/>
        </w:rPr>
        <w:t>1</w:t>
      </w:r>
      <w:r w:rsidRPr="00977945">
        <w:rPr>
          <w:lang w:val="pl-PL"/>
        </w:rPr>
        <w:t xml:space="preserve"> kpk nałożona grzywna była wykonalna po upływie dwudziestodniowego terminu, w którym mógł on, zgodnie z przepisami kpk, zaskarżyć przedmiotowe postanowienie. Wymagana przez prawo wykonalność postanowienia po upływie terminu do</w:t>
      </w:r>
      <w:r w:rsidR="001F5A65">
        <w:rPr>
          <w:lang w:val="pl-PL"/>
        </w:rPr>
        <w:t> </w:t>
      </w:r>
      <w:r w:rsidRPr="00977945">
        <w:rPr>
          <w:lang w:val="pl-PL"/>
        </w:rPr>
        <w:t>wniesienia środka zaskarżenia spowodowała, że postanowienie to stało się prawomocne, tak że po jego wykonaniu postępowanie nie mogło już zostać wznowione przez prokuraturę na podstawie art. 273 kpk.</w:t>
      </w:r>
    </w:p>
    <w:p w14:paraId="46BD8500" w14:textId="4A039902" w:rsidR="009E53C0" w:rsidRPr="00977945" w:rsidRDefault="009E53C0" w:rsidP="000D30FE">
      <w:pPr>
        <w:pStyle w:val="ECHRPara"/>
        <w:rPr>
          <w:lang w:val="pl-PL"/>
        </w:rPr>
      </w:pPr>
      <w:r w:rsidRPr="00977945">
        <w:rPr>
          <w:lang w:val="pl-PL"/>
        </w:rPr>
        <w:t>80.</w:t>
      </w:r>
      <w:r>
        <w:rPr>
          <w:lang w:val="pl-PL"/>
        </w:rPr>
        <w:t xml:space="preserve"> </w:t>
      </w:r>
      <w:r w:rsidRPr="00977945">
        <w:rPr>
          <w:lang w:val="pl-PL"/>
        </w:rPr>
        <w:t>Wreszcie, zdaniem skarżącego, fakt, że art. 273 kpk w brzmieniu obowiązującym w czasie zaistnienia okoliczności faktycznych sprawy umożliwił prokuraturze wyższego szczebla wznowienie postępowania karnego, nie stanowił nadzwyczajnego środka odwoławczego w rozumieniu orzecznictwa Trybunału, lecz raczej wznowienie sprawy, które należy oceniać na podstawie art. 4 ust. 2 Protokołu nr 7. Decyzja prokuratora wyższego szczebla z dnia 7 stycznia 2009 r. była sprzeczna zarówno z</w:t>
      </w:r>
      <w:r w:rsidR="001F5A65">
        <w:rPr>
          <w:lang w:val="pl-PL"/>
        </w:rPr>
        <w:t> </w:t>
      </w:r>
      <w:r w:rsidRPr="00977945">
        <w:rPr>
          <w:lang w:val="pl-PL"/>
        </w:rPr>
        <w:t>prawem krajowym, jak i z art. 4 ust. 2 Protokołu nr 7. Skarżący podn</w:t>
      </w:r>
      <w:r w:rsidR="004F5863">
        <w:rPr>
          <w:lang w:val="pl-PL"/>
        </w:rPr>
        <w:t>iósł</w:t>
      </w:r>
      <w:r w:rsidRPr="00977945">
        <w:rPr>
          <w:lang w:val="pl-PL"/>
        </w:rPr>
        <w:t xml:space="preserve"> w</w:t>
      </w:r>
      <w:r w:rsidR="001F5A65">
        <w:rPr>
          <w:lang w:val="pl-PL"/>
        </w:rPr>
        <w:t> </w:t>
      </w:r>
      <w:r w:rsidRPr="00977945">
        <w:rPr>
          <w:lang w:val="pl-PL"/>
        </w:rPr>
        <w:t>tym względzie, że wznowienie opierało się na odmiennej ocenie okoliczności popełnienia przestępstwa i adekwatności wymierzonej kary, a</w:t>
      </w:r>
      <w:r w:rsidR="001F5A65">
        <w:rPr>
          <w:lang w:val="pl-PL"/>
        </w:rPr>
        <w:t> </w:t>
      </w:r>
      <w:r w:rsidRPr="00977945">
        <w:rPr>
          <w:lang w:val="pl-PL"/>
        </w:rPr>
        <w:t xml:space="preserve">nie na stwierdzeniu, że powody stanowiące podstawę poprzedniego orzeczenia nigdy w rzeczywistości nie istniały lub już nie istnieją – </w:t>
      </w:r>
      <w:r w:rsidRPr="00977945">
        <w:rPr>
          <w:lang w:val="pl-PL"/>
        </w:rPr>
        <w:lastRenderedPageBreak/>
        <w:t>jak</w:t>
      </w:r>
      <w:r w:rsidR="001F5A65">
        <w:rPr>
          <w:lang w:val="pl-PL"/>
        </w:rPr>
        <w:t> </w:t>
      </w:r>
      <w:r w:rsidRPr="00977945">
        <w:rPr>
          <w:lang w:val="pl-PL"/>
        </w:rPr>
        <w:t>wymaga</w:t>
      </w:r>
      <w:r w:rsidR="004F5863">
        <w:rPr>
          <w:lang w:val="pl-PL"/>
        </w:rPr>
        <w:t>ł</w:t>
      </w:r>
      <w:r w:rsidRPr="00977945">
        <w:rPr>
          <w:lang w:val="pl-PL"/>
        </w:rPr>
        <w:t xml:space="preserve"> tego art. 273 kpk w brzmieniu obowiązującym w czasie zaistnienia okoliczności faktycznych sprawy – lub na pojawieniu się nowych okoliczności faktycznych lub </w:t>
      </w:r>
      <w:r w:rsidR="00A41C35" w:rsidRPr="00A41C35">
        <w:rPr>
          <w:lang w:val="pl-PL"/>
        </w:rPr>
        <w:t>rażącego uchybienia</w:t>
      </w:r>
      <w:r w:rsidR="00A41C35" w:rsidRPr="00977945">
        <w:rPr>
          <w:lang w:val="pl-PL"/>
        </w:rPr>
        <w:t xml:space="preserve"> </w:t>
      </w:r>
      <w:r w:rsidRPr="00977945">
        <w:rPr>
          <w:lang w:val="pl-PL"/>
        </w:rPr>
        <w:t>popełnione</w:t>
      </w:r>
      <w:r w:rsidR="00A41C35">
        <w:rPr>
          <w:lang w:val="pl-PL"/>
        </w:rPr>
        <w:t>go</w:t>
      </w:r>
      <w:r w:rsidRPr="00977945">
        <w:rPr>
          <w:lang w:val="pl-PL"/>
        </w:rPr>
        <w:t xml:space="preserve"> w</w:t>
      </w:r>
      <w:r w:rsidR="00AE4551">
        <w:rPr>
          <w:lang w:val="pl-PL"/>
        </w:rPr>
        <w:t> </w:t>
      </w:r>
      <w:r w:rsidRPr="00977945">
        <w:rPr>
          <w:lang w:val="pl-PL"/>
        </w:rPr>
        <w:t>poprzednim postępowaniu, jak wymaga tego art.</w:t>
      </w:r>
      <w:r w:rsidR="000F46C5">
        <w:rPr>
          <w:lang w:val="pl-PL"/>
        </w:rPr>
        <w:t xml:space="preserve"> </w:t>
      </w:r>
      <w:r w:rsidRPr="00977945">
        <w:rPr>
          <w:lang w:val="pl-PL"/>
        </w:rPr>
        <w:t>4 ust.</w:t>
      </w:r>
      <w:r w:rsidR="000F46C5">
        <w:rPr>
          <w:lang w:val="pl-PL"/>
        </w:rPr>
        <w:t xml:space="preserve"> </w:t>
      </w:r>
      <w:r w:rsidRPr="00977945">
        <w:rPr>
          <w:lang w:val="pl-PL"/>
        </w:rPr>
        <w:t>2 Protokołu nr 7.</w:t>
      </w:r>
    </w:p>
    <w:p w14:paraId="6FA43088" w14:textId="77777777" w:rsidR="009E53C0" w:rsidRPr="00977945" w:rsidRDefault="009E53C0" w:rsidP="000D30FE">
      <w:pPr>
        <w:pStyle w:val="ECHRHeading4"/>
        <w:rPr>
          <w:lang w:val="pl-PL"/>
        </w:rPr>
      </w:pPr>
      <w:r w:rsidRPr="00977945">
        <w:rPr>
          <w:lang w:val="pl-PL"/>
        </w:rPr>
        <w:t>b) Ocena Trybunału</w:t>
      </w:r>
    </w:p>
    <w:p w14:paraId="08E6C1F4" w14:textId="77777777" w:rsidR="009E53C0" w:rsidRPr="00977945" w:rsidRDefault="009E53C0" w:rsidP="000D30FE">
      <w:pPr>
        <w:pStyle w:val="ECHRPara"/>
        <w:rPr>
          <w:lang w:val="pl-PL"/>
        </w:rPr>
      </w:pPr>
      <w:r w:rsidRPr="00977945">
        <w:rPr>
          <w:lang w:val="pl-PL"/>
        </w:rPr>
        <w:t>81.</w:t>
      </w:r>
      <w:r>
        <w:rPr>
          <w:lang w:val="pl-PL"/>
        </w:rPr>
        <w:t xml:space="preserve"> </w:t>
      </w:r>
      <w:r w:rsidRPr="00977945">
        <w:rPr>
          <w:lang w:val="pl-PL"/>
        </w:rPr>
        <w:t xml:space="preserve">Trybunał przypomina, że celem art. 4 Protokołu nr 7 jest zakaz powtórzenia postępowania karnego zakończonego prawomocnym orzeczeniem (zob. </w:t>
      </w:r>
      <w:r w:rsidRPr="00977945">
        <w:rPr>
          <w:i/>
          <w:iCs/>
          <w:lang w:val="pl-PL"/>
        </w:rPr>
        <w:t>Sergey</w:t>
      </w:r>
      <w:r w:rsidRPr="00977945">
        <w:rPr>
          <w:lang w:val="pl-PL"/>
        </w:rPr>
        <w:t xml:space="preserve"> </w:t>
      </w:r>
      <w:r w:rsidRPr="00977945">
        <w:rPr>
          <w:i/>
          <w:iCs/>
          <w:lang w:val="pl-PL"/>
        </w:rPr>
        <w:t>Zolotukhin, op.</w:t>
      </w:r>
      <w:r>
        <w:rPr>
          <w:i/>
          <w:iCs/>
          <w:lang w:val="pl-PL"/>
        </w:rPr>
        <w:t xml:space="preserve"> </w:t>
      </w:r>
      <w:r w:rsidRPr="00977945">
        <w:rPr>
          <w:i/>
          <w:iCs/>
          <w:lang w:val="pl-PL"/>
        </w:rPr>
        <w:t>cit.</w:t>
      </w:r>
      <w:r w:rsidRPr="00977945">
        <w:rPr>
          <w:lang w:val="pl-PL"/>
        </w:rPr>
        <w:t>, § 107, i przytoczone tam orzecznictwo).</w:t>
      </w:r>
    </w:p>
    <w:p w14:paraId="17AB5A87" w14:textId="6A18F10A" w:rsidR="009E53C0" w:rsidRPr="00977945" w:rsidRDefault="009E53C0" w:rsidP="000D30FE">
      <w:pPr>
        <w:pStyle w:val="ECHRHeading5"/>
        <w:rPr>
          <w:lang w:val="pl-PL"/>
        </w:rPr>
      </w:pPr>
      <w:r w:rsidRPr="00977945">
        <w:rPr>
          <w:lang w:val="pl-PL"/>
        </w:rPr>
        <w:t>(i)</w:t>
      </w:r>
      <w:r w:rsidR="000F46C5">
        <w:rPr>
          <w:lang w:val="pl-PL"/>
        </w:rPr>
        <w:t xml:space="preserve"> </w:t>
      </w:r>
      <w:r w:rsidRPr="00977945">
        <w:rPr>
          <w:lang w:val="pl-PL"/>
        </w:rPr>
        <w:t>Wstępne uwagi na temat</w:t>
      </w:r>
      <w:r w:rsidR="004F5863">
        <w:rPr>
          <w:lang w:val="pl-PL"/>
        </w:rPr>
        <w:t xml:space="preserve"> kwestii</w:t>
      </w:r>
      <w:r w:rsidRPr="00977945">
        <w:rPr>
          <w:lang w:val="pl-PL"/>
        </w:rPr>
        <w:t xml:space="preserve"> komplementarności obu postępowań</w:t>
      </w:r>
    </w:p>
    <w:p w14:paraId="23BC98F4" w14:textId="5DCB076D" w:rsidR="009E53C0" w:rsidRPr="00977945" w:rsidRDefault="009E53C0" w:rsidP="000D30FE">
      <w:pPr>
        <w:pStyle w:val="ECHRPara"/>
        <w:rPr>
          <w:lang w:val="pl-PL"/>
        </w:rPr>
      </w:pPr>
      <w:r w:rsidRPr="00977945">
        <w:rPr>
          <w:lang w:val="pl-PL"/>
        </w:rPr>
        <w:t>82.</w:t>
      </w:r>
      <w:r>
        <w:rPr>
          <w:lang w:val="pl-PL"/>
        </w:rPr>
        <w:t xml:space="preserve"> </w:t>
      </w:r>
      <w:r w:rsidRPr="00977945">
        <w:rPr>
          <w:lang w:val="pl-PL"/>
        </w:rPr>
        <w:t>Trybunał uważa, że należy przede wszystkim rozważyć, czy</w:t>
      </w:r>
      <w:r w:rsidR="001F5A65">
        <w:rPr>
          <w:lang w:val="pl-PL"/>
        </w:rPr>
        <w:t> </w:t>
      </w:r>
      <w:r w:rsidRPr="00977945">
        <w:rPr>
          <w:lang w:val="pl-PL"/>
        </w:rPr>
        <w:t>okoliczności faktyczne niniejszej sprawy wskazują na „podwójne” postępowania o dostatecznie bliskim związku – zważywszy, że kwestia, czy</w:t>
      </w:r>
      <w:r w:rsidR="001F5A65">
        <w:rPr>
          <w:lang w:val="pl-PL"/>
        </w:rPr>
        <w:t> </w:t>
      </w:r>
      <w:r w:rsidRPr="00977945">
        <w:rPr>
          <w:lang w:val="pl-PL"/>
        </w:rPr>
        <w:t>orzeczenie jest „prawomocne” czy nie, jest pozbawiona znaczenia, gdy</w:t>
      </w:r>
      <w:r w:rsidR="001F5A65">
        <w:rPr>
          <w:lang w:val="pl-PL"/>
        </w:rPr>
        <w:t> </w:t>
      </w:r>
      <w:r w:rsidRPr="00977945">
        <w:rPr>
          <w:lang w:val="pl-PL"/>
        </w:rPr>
        <w:t>nie ma rzeczywistego powielenia postępowań</w:t>
      </w:r>
      <w:r w:rsidR="004F5863">
        <w:rPr>
          <w:lang w:val="pl-PL"/>
        </w:rPr>
        <w:t>, ale</w:t>
      </w:r>
      <w:r w:rsidRPr="00977945">
        <w:rPr>
          <w:lang w:val="pl-PL"/>
        </w:rPr>
        <w:t xml:space="preserve"> raczej </w:t>
      </w:r>
      <w:r w:rsidR="006634A7">
        <w:rPr>
          <w:lang w:val="pl-PL"/>
        </w:rPr>
        <w:t xml:space="preserve">połączenie </w:t>
      </w:r>
      <w:r w:rsidRPr="00977945">
        <w:rPr>
          <w:lang w:val="pl-PL"/>
        </w:rPr>
        <w:t>postępowań uznawanych za stanowiące zintegrowaną całość (zob.</w:t>
      </w:r>
      <w:r>
        <w:rPr>
          <w:lang w:val="pl-PL"/>
        </w:rPr>
        <w:t xml:space="preserve"> </w:t>
      </w:r>
      <w:r w:rsidRPr="00977945">
        <w:rPr>
          <w:i/>
          <w:iCs/>
          <w:lang w:val="pl-PL"/>
        </w:rPr>
        <w:t>A i B przeciwko Norwegii</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142).</w:t>
      </w:r>
    </w:p>
    <w:p w14:paraId="15448D0E" w14:textId="0E4D4972" w:rsidR="009E53C0" w:rsidRPr="00977945" w:rsidRDefault="009E53C0" w:rsidP="000D30FE">
      <w:pPr>
        <w:pStyle w:val="ECHRPara"/>
        <w:rPr>
          <w:lang w:val="pl-PL"/>
        </w:rPr>
      </w:pPr>
      <w:r w:rsidRPr="00977945">
        <w:rPr>
          <w:lang w:val="pl-PL"/>
        </w:rPr>
        <w:t>83.</w:t>
      </w:r>
      <w:r>
        <w:rPr>
          <w:lang w:val="pl-PL"/>
        </w:rPr>
        <w:t xml:space="preserve"> </w:t>
      </w:r>
      <w:r w:rsidRPr="00977945">
        <w:rPr>
          <w:lang w:val="pl-PL"/>
        </w:rPr>
        <w:t xml:space="preserve">Trybunał zauważa, że w sprawie </w:t>
      </w:r>
      <w:r w:rsidRPr="00977945">
        <w:rPr>
          <w:i/>
          <w:iCs/>
          <w:lang w:val="pl-PL"/>
        </w:rPr>
        <w:t>A i B przeciwko Norwegii</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w:t>
      </w:r>
      <w:r w:rsidR="001F5A65">
        <w:rPr>
          <w:lang w:val="pl-PL"/>
        </w:rPr>
        <w:t xml:space="preserve"> </w:t>
      </w:r>
      <w:r w:rsidRPr="00977945">
        <w:rPr>
          <w:lang w:val="pl-PL"/>
        </w:rPr>
        <w:t>§§</w:t>
      </w:r>
      <w:r w:rsidR="001F5A65">
        <w:rPr>
          <w:lang w:val="pl-PL"/>
        </w:rPr>
        <w:t> </w:t>
      </w:r>
      <w:r w:rsidRPr="00977945">
        <w:rPr>
          <w:lang w:val="pl-PL"/>
        </w:rPr>
        <w:t>126 i 130–34) przypomniał i rozwinął zasadę „dostatecznie bliskiego związku, zarówno co do istoty, jak i w czasie” między postępowaniami: jeżeli związek ten pozwala na traktowanie dwóch postępowań jako części zintegrowanego systemu sankcji na mocy danego prawa krajowego, nie</w:t>
      </w:r>
      <w:r w:rsidR="001F5A65">
        <w:rPr>
          <w:lang w:val="pl-PL"/>
        </w:rPr>
        <w:t> </w:t>
      </w:r>
      <w:r w:rsidRPr="00977945">
        <w:rPr>
          <w:lang w:val="pl-PL"/>
        </w:rPr>
        <w:t xml:space="preserve">dochodzi do powielania postępowań, lecz raczej do ich </w:t>
      </w:r>
      <w:r w:rsidR="006634A7">
        <w:rPr>
          <w:lang w:val="pl-PL"/>
        </w:rPr>
        <w:t>połączenia</w:t>
      </w:r>
      <w:r w:rsidRPr="00977945">
        <w:rPr>
          <w:lang w:val="pl-PL"/>
        </w:rPr>
        <w:t xml:space="preserve"> zgodnie z art. 4 Protokołu nr 7.</w:t>
      </w:r>
    </w:p>
    <w:p w14:paraId="01E3FF59" w14:textId="161AE6E4" w:rsidR="009E53C0" w:rsidRPr="00977945" w:rsidRDefault="009E53C0" w:rsidP="000D30FE">
      <w:pPr>
        <w:pStyle w:val="ECHRPara"/>
        <w:rPr>
          <w:lang w:val="pl-PL"/>
        </w:rPr>
      </w:pPr>
      <w:r w:rsidRPr="00977945">
        <w:rPr>
          <w:lang w:val="pl-PL"/>
        </w:rPr>
        <w:t>84.</w:t>
      </w:r>
      <w:r>
        <w:rPr>
          <w:lang w:val="pl-PL"/>
        </w:rPr>
        <w:t xml:space="preserve"> </w:t>
      </w:r>
      <w:r w:rsidRPr="00977945">
        <w:rPr>
          <w:lang w:val="pl-PL"/>
        </w:rPr>
        <w:t>W niniejszej sprawie skarżący był ścigany w „obu” postępowaniach za jedno przestępstwo karane jednym przepisem prawnym, a mianowicie art.</w:t>
      </w:r>
      <w:r w:rsidR="001F5A65">
        <w:rPr>
          <w:lang w:val="pl-PL"/>
        </w:rPr>
        <w:t> </w:t>
      </w:r>
      <w:r w:rsidRPr="00977945">
        <w:rPr>
          <w:lang w:val="pl-PL"/>
        </w:rPr>
        <w:t xml:space="preserve">87 § 5 rozporządzenia nr 195/2002. </w:t>
      </w:r>
      <w:r w:rsidR="00ED6A49" w:rsidRPr="00977945">
        <w:rPr>
          <w:lang w:val="pl-PL"/>
        </w:rPr>
        <w:t>Postępowania</w:t>
      </w:r>
      <w:r w:rsidRPr="00977945">
        <w:rPr>
          <w:lang w:val="pl-PL"/>
        </w:rPr>
        <w:t xml:space="preserve"> i dwie kary nałożone na skarżącego miały ten sam ogólny cel polegający na powstrzymaniu zachowań zagrażających bezpieczeństwu drogowemu. „Pierwsze” postępowanie jako całość i początkowa część „drugiego” postępowania były prowadzone przez ten sam organ, tj. prokuraturę przy Sądzie Rejonowym w</w:t>
      </w:r>
      <w:r w:rsidR="001F5A65">
        <w:rPr>
          <w:lang w:val="pl-PL"/>
        </w:rPr>
        <w:t> </w:t>
      </w:r>
      <w:r w:rsidRPr="00977945">
        <w:rPr>
          <w:lang w:val="pl-PL"/>
        </w:rPr>
        <w:t>Fokszanach, a w „obu” postępowaniach przeprowadzono te same dowody. W niniejszej sprawie dwie kary nałożone na skarżącego nie zostały połączone: należało nałożyć jedną z dwóch kar w zależności od tego, czy</w:t>
      </w:r>
      <w:r w:rsidR="001F5A65">
        <w:rPr>
          <w:lang w:val="pl-PL"/>
        </w:rPr>
        <w:t> </w:t>
      </w:r>
      <w:r w:rsidRPr="00977945">
        <w:rPr>
          <w:lang w:val="pl-PL"/>
        </w:rPr>
        <w:t>organy śledcze uznały okoliczności faktyczne za przestępstwo. Te „dwa” postępowania miały miejsce jedno po drugim i w żadnym momencie nie były prowadzone jednocześnie.</w:t>
      </w:r>
    </w:p>
    <w:p w14:paraId="22C7A1B8" w14:textId="211869D5" w:rsidR="009E53C0" w:rsidRPr="00977945" w:rsidRDefault="009E53C0" w:rsidP="000D30FE">
      <w:pPr>
        <w:pStyle w:val="ECHRPara"/>
        <w:rPr>
          <w:lang w:val="pl-PL"/>
        </w:rPr>
      </w:pPr>
      <w:r w:rsidRPr="00977945">
        <w:rPr>
          <w:lang w:val="pl-PL"/>
        </w:rPr>
        <w:t>85.</w:t>
      </w:r>
      <w:r>
        <w:rPr>
          <w:lang w:val="pl-PL"/>
        </w:rPr>
        <w:t xml:space="preserve"> </w:t>
      </w:r>
      <w:r w:rsidRPr="00977945">
        <w:rPr>
          <w:lang w:val="pl-PL"/>
        </w:rPr>
        <w:t>Uwzględniając te czynniki, Trybunał zgadza się ze stronami i</w:t>
      </w:r>
      <w:r w:rsidR="001F5A65">
        <w:rPr>
          <w:lang w:val="pl-PL"/>
        </w:rPr>
        <w:t> </w:t>
      </w:r>
      <w:r w:rsidRPr="00977945">
        <w:rPr>
          <w:lang w:val="pl-PL"/>
        </w:rPr>
        <w:t>stwierdza, że obydwa postępowania nie zostały połączone w sposób zintegrowany, tak aby stanowiły spójną całość, łączącą podwójne postępowania „dostatecznie blisk[o] [...] co do istoty i w czasie”, aby były zgodne z kryterium „bis” na podstawie art.</w:t>
      </w:r>
      <w:r w:rsidR="002124A9">
        <w:rPr>
          <w:lang w:val="pl-PL"/>
        </w:rPr>
        <w:t xml:space="preserve"> 4 Protokołu nr 7</w:t>
      </w:r>
      <w:r w:rsidRPr="00977945">
        <w:rPr>
          <w:lang w:val="pl-PL"/>
        </w:rPr>
        <w:t xml:space="preserve"> (por. </w:t>
      </w:r>
      <w:r w:rsidRPr="00977945">
        <w:rPr>
          <w:i/>
          <w:iCs/>
          <w:lang w:val="pl-PL"/>
        </w:rPr>
        <w:t xml:space="preserve">A i B </w:t>
      </w:r>
      <w:r w:rsidRPr="00977945">
        <w:rPr>
          <w:i/>
          <w:iCs/>
          <w:lang w:val="pl-PL"/>
        </w:rPr>
        <w:lastRenderedPageBreak/>
        <w:t>przeciwko Norwegii, 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 xml:space="preserve">112–34, oraz </w:t>
      </w:r>
      <w:r w:rsidRPr="00977945">
        <w:rPr>
          <w:i/>
          <w:iCs/>
          <w:lang w:val="pl-PL"/>
        </w:rPr>
        <w:t>Jóhannesson i Inni przeciwko Islandii,</w:t>
      </w:r>
      <w:r w:rsidRPr="00977945">
        <w:rPr>
          <w:lang w:val="pl-PL"/>
        </w:rPr>
        <w:t xml:space="preserve"> nr</w:t>
      </w:r>
      <w:r w:rsidR="000F46C5">
        <w:rPr>
          <w:lang w:val="pl-PL"/>
        </w:rPr>
        <w:t xml:space="preserve"> </w:t>
      </w:r>
      <w:r w:rsidRPr="00977945">
        <w:rPr>
          <w:lang w:val="pl-PL"/>
        </w:rPr>
        <w:t>22007/11, §§</w:t>
      </w:r>
      <w:r w:rsidR="000F46C5">
        <w:rPr>
          <w:lang w:val="pl-PL"/>
        </w:rPr>
        <w:t xml:space="preserve"> </w:t>
      </w:r>
      <w:r w:rsidRPr="00977945">
        <w:rPr>
          <w:lang w:val="pl-PL"/>
        </w:rPr>
        <w:t>48–49, 18 maja 2017 r.).</w:t>
      </w:r>
    </w:p>
    <w:p w14:paraId="5F93E603" w14:textId="771585B9" w:rsidR="009E53C0" w:rsidRPr="00977945" w:rsidRDefault="009E53C0" w:rsidP="000D30FE">
      <w:pPr>
        <w:pStyle w:val="ECHRPara"/>
        <w:rPr>
          <w:i/>
          <w:iCs/>
          <w:lang w:val="pl-PL"/>
        </w:rPr>
      </w:pPr>
      <w:r w:rsidRPr="00977945">
        <w:rPr>
          <w:lang w:val="pl-PL"/>
        </w:rPr>
        <w:t>86.</w:t>
      </w:r>
      <w:r>
        <w:rPr>
          <w:lang w:val="pl-PL"/>
        </w:rPr>
        <w:t xml:space="preserve"> </w:t>
      </w:r>
      <w:r w:rsidRPr="00977945">
        <w:rPr>
          <w:lang w:val="pl-PL"/>
        </w:rPr>
        <w:t>W celu dalszego ustalenia, czy w niniejszej sprawie miało miejsce powielanie postępowania („bis”) w rozumieniu art. 4 Protokołu nr 7, Trybunał zbada, czy postanowienie prokuratora z dnia 7 sierpnia 2008 r. stanowiło „prawomocne” „skazan[ie] [...] lub uniewinni[enie]” skarżącego. W przypadku odpowiedzi twierdzącej, Trybunał musi ustalić, czy decyzja wydana przez prokuratora wyższego szczebla w dniu 7 stycznia 2009 r. była objęta wyjątkiem określonym w art. 4 ust. 2 Protokołu nr 7 i w związku z</w:t>
      </w:r>
      <w:r w:rsidR="001F5A65">
        <w:rPr>
          <w:lang w:val="pl-PL"/>
        </w:rPr>
        <w:t> </w:t>
      </w:r>
      <w:r w:rsidRPr="00977945">
        <w:rPr>
          <w:lang w:val="pl-PL"/>
        </w:rPr>
        <w:t>tym</w:t>
      </w:r>
      <w:r w:rsidR="001F5A65">
        <w:rPr>
          <w:lang w:val="pl-PL"/>
        </w:rPr>
        <w:t> </w:t>
      </w:r>
      <w:r w:rsidRPr="00977945">
        <w:rPr>
          <w:lang w:val="pl-PL"/>
        </w:rPr>
        <w:t xml:space="preserve">stanowiła </w:t>
      </w:r>
      <w:r w:rsidR="002124A9">
        <w:rPr>
          <w:lang w:val="pl-PL"/>
        </w:rPr>
        <w:t>wznowienie</w:t>
      </w:r>
      <w:r w:rsidRPr="00977945">
        <w:rPr>
          <w:lang w:val="pl-PL"/>
        </w:rPr>
        <w:t xml:space="preserve"> sprawy zgodne z art. 4 Protokołu nr 7.</w:t>
      </w:r>
    </w:p>
    <w:p w14:paraId="47EBED96" w14:textId="3C54A0A8" w:rsidR="009E53C0" w:rsidRPr="00977945" w:rsidRDefault="009E53C0" w:rsidP="000D30FE">
      <w:pPr>
        <w:pStyle w:val="ECHRHeading5"/>
        <w:rPr>
          <w:lang w:val="pl-PL"/>
        </w:rPr>
      </w:pPr>
      <w:r w:rsidRPr="00977945">
        <w:rPr>
          <w:lang w:val="pl-PL"/>
        </w:rPr>
        <w:t>(ii) Czy postanowienie z dnia 7 sierpni</w:t>
      </w:r>
      <w:r w:rsidR="002124A9">
        <w:rPr>
          <w:lang w:val="pl-PL"/>
        </w:rPr>
        <w:t xml:space="preserve">a 2008 r. stanowiło </w:t>
      </w:r>
      <w:r w:rsidRPr="00977945">
        <w:rPr>
          <w:lang w:val="pl-PL"/>
        </w:rPr>
        <w:t>prawomocny wyrok uniewinniający</w:t>
      </w:r>
      <w:r w:rsidR="002124A9">
        <w:rPr>
          <w:lang w:val="pl-PL"/>
        </w:rPr>
        <w:t xml:space="preserve"> lub </w:t>
      </w:r>
      <w:r w:rsidRPr="00977945">
        <w:rPr>
          <w:lang w:val="pl-PL"/>
        </w:rPr>
        <w:t>skazujący</w:t>
      </w:r>
    </w:p>
    <w:p w14:paraId="41066DEE" w14:textId="41724B47" w:rsidR="009E53C0" w:rsidRPr="00977945" w:rsidRDefault="009E53C0" w:rsidP="000D30FE">
      <w:pPr>
        <w:pStyle w:val="ECHRPara"/>
        <w:rPr>
          <w:rFonts w:eastAsia="MS Gothic"/>
          <w:lang w:val="pl-PL"/>
        </w:rPr>
      </w:pPr>
      <w:r w:rsidRPr="00977945">
        <w:rPr>
          <w:rFonts w:eastAsia="MS Gothic"/>
          <w:lang w:val="pl-PL"/>
        </w:rPr>
        <w:t>87.</w:t>
      </w:r>
      <w:r>
        <w:rPr>
          <w:rFonts w:eastAsia="MS Gothic"/>
          <w:lang w:val="pl-PL"/>
        </w:rPr>
        <w:t xml:space="preserve"> </w:t>
      </w:r>
      <w:r w:rsidRPr="00977945">
        <w:rPr>
          <w:rFonts w:eastAsia="MS Gothic"/>
          <w:lang w:val="pl-PL"/>
        </w:rPr>
        <w:t>Trybunał zauważa, że strony nie zgadzały się w tej kwestii: Rząd twierdził, że postanowienie z dnia 7 sierpnia 2008 r. oznaczało jedynie umorzenie postępowania przez prokuraturę, podczas gdy skarżący utrzymywał, że oznaczało ono jego skazanie. Podobnie, skarżący twierdził, że postanowienie z dnia 7 sierpnia 2008 r. było orzeczeniem prawomocnym, ale Rząd to twierdzenie kwestionował.</w:t>
      </w:r>
    </w:p>
    <w:p w14:paraId="2EB42684" w14:textId="6205C569" w:rsidR="009E53C0" w:rsidRPr="00977945" w:rsidRDefault="009E53C0" w:rsidP="000D30FE">
      <w:pPr>
        <w:pStyle w:val="ECHRPara"/>
        <w:rPr>
          <w:rFonts w:eastAsia="Times New Roman"/>
          <w:lang w:val="pl-PL"/>
        </w:rPr>
      </w:pPr>
      <w:bookmarkStart w:id="67" w:name="P43"/>
      <w:r w:rsidRPr="00977945">
        <w:rPr>
          <w:lang w:val="pl-PL"/>
        </w:rPr>
        <w:t>88</w:t>
      </w:r>
      <w:bookmarkEnd w:id="67"/>
      <w:r w:rsidRPr="00977945">
        <w:rPr>
          <w:lang w:val="pl-PL"/>
        </w:rPr>
        <w:t>.</w:t>
      </w:r>
      <w:r>
        <w:rPr>
          <w:lang w:val="pl-PL"/>
        </w:rPr>
        <w:t xml:space="preserve"> </w:t>
      </w:r>
      <w:r w:rsidR="002124A9">
        <w:rPr>
          <w:lang w:val="pl-PL"/>
        </w:rPr>
        <w:t>Trybunał zauważa</w:t>
      </w:r>
      <w:r w:rsidRPr="00977945">
        <w:rPr>
          <w:lang w:val="pl-PL"/>
        </w:rPr>
        <w:t xml:space="preserve">, że art. 4 Protokołu nr 7 stanowi, iż zasada </w:t>
      </w:r>
      <w:r w:rsidRPr="00977945">
        <w:rPr>
          <w:i/>
          <w:iCs/>
          <w:lang w:val="pl-PL"/>
        </w:rPr>
        <w:t>ne bis in</w:t>
      </w:r>
      <w:r w:rsidR="001F5A65">
        <w:rPr>
          <w:i/>
          <w:iCs/>
          <w:lang w:val="pl-PL"/>
        </w:rPr>
        <w:t> </w:t>
      </w:r>
      <w:r w:rsidRPr="00977945">
        <w:rPr>
          <w:i/>
          <w:iCs/>
          <w:lang w:val="pl-PL"/>
        </w:rPr>
        <w:t xml:space="preserve">idem </w:t>
      </w:r>
      <w:r w:rsidRPr="00977945">
        <w:rPr>
          <w:lang w:val="pl-PL"/>
        </w:rPr>
        <w:t>ma na celu ochronę osób, które zostały już „</w:t>
      </w:r>
      <w:r w:rsidRPr="00977945">
        <w:rPr>
          <w:lang w:val="pl-PL"/>
        </w:rPr>
        <w:t>skazan[e] prawomocnym wyrokiem</w:t>
      </w:r>
      <w:r w:rsidRPr="00977945">
        <w:rPr>
          <w:lang w:val="pl-PL"/>
        </w:rPr>
        <w:t xml:space="preserve"> lub </w:t>
      </w:r>
      <w:r w:rsidRPr="00977945">
        <w:rPr>
          <w:lang w:val="pl-PL"/>
        </w:rPr>
        <w:t>uniewinnion[e]”.</w:t>
      </w:r>
      <w:r w:rsidRPr="00977945">
        <w:rPr>
          <w:lang w:val="pl-PL"/>
        </w:rPr>
        <w:t xml:space="preserve"> W sprawozdaniu wyjaśniającym do</w:t>
      </w:r>
      <w:r w:rsidR="001F5A65">
        <w:rPr>
          <w:lang w:val="pl-PL"/>
        </w:rPr>
        <w:t> </w:t>
      </w:r>
      <w:r w:rsidRPr="00977945">
        <w:rPr>
          <w:lang w:val="pl-PL"/>
        </w:rPr>
        <w:t xml:space="preserve">Protokołu nr 7 stwierdzono, w odniesieniu do art. 4, że „[z]asada wyrażona w niniejszym postanowieniu ma zastosowanie wyłączne wówczas, gdy osoba została uprzednio skazana </w:t>
      </w:r>
      <w:r w:rsidRPr="00977945">
        <w:rPr>
          <w:lang w:val="pl-PL"/>
        </w:rPr>
        <w:t xml:space="preserve">prawomocnym wyrokiem </w:t>
      </w:r>
      <w:r w:rsidRPr="00977945">
        <w:rPr>
          <w:lang w:val="pl-PL"/>
        </w:rPr>
        <w:t>lub</w:t>
      </w:r>
      <w:r w:rsidR="001F5A65">
        <w:rPr>
          <w:lang w:val="pl-PL"/>
        </w:rPr>
        <w:t> </w:t>
      </w:r>
      <w:r w:rsidRPr="00977945">
        <w:rPr>
          <w:lang w:val="pl-PL"/>
        </w:rPr>
        <w:t>uniewinniona zgodnie z ustawą i zasadami postępowania karnego danego państwa” (zob. pkt 29 sprawozdania wyjaśniającego, cytowany powyżej w</w:t>
      </w:r>
      <w:r w:rsidR="001F5A65">
        <w:rPr>
          <w:lang w:val="pl-PL"/>
        </w:rPr>
        <w:t> </w:t>
      </w:r>
      <w:r w:rsidRPr="00977945">
        <w:rPr>
          <w:lang w:val="pl-PL"/>
        </w:rPr>
        <w:t>paragrafie 37). Aby dana osoba mogła zostać objęta ochroną na mocy niniejszego artykułu, nie wystarczy zatem wydanie prawomocnego orzeczenia; prawomocne orzeczenie musi również obejmować uniewinnienie lub skazanie danej osoby.</w:t>
      </w:r>
    </w:p>
    <w:p w14:paraId="503674BD" w14:textId="31840A62" w:rsidR="009E53C0" w:rsidRPr="00977945" w:rsidRDefault="009E53C0" w:rsidP="000D30FE">
      <w:pPr>
        <w:pStyle w:val="ECHRPara"/>
        <w:rPr>
          <w:rFonts w:eastAsia="Times New Roman"/>
          <w:lang w:val="pl-PL"/>
        </w:rPr>
      </w:pPr>
      <w:r w:rsidRPr="00977945">
        <w:rPr>
          <w:rFonts w:eastAsia="Times New Roman"/>
          <w:lang w:val="pl-PL"/>
        </w:rPr>
        <w:t>89.</w:t>
      </w:r>
      <w:r>
        <w:rPr>
          <w:rFonts w:eastAsia="Times New Roman"/>
          <w:lang w:val="pl-PL"/>
        </w:rPr>
        <w:t xml:space="preserve"> </w:t>
      </w:r>
      <w:r w:rsidRPr="00977945">
        <w:rPr>
          <w:rFonts w:eastAsia="Times New Roman"/>
          <w:lang w:val="pl-PL"/>
        </w:rPr>
        <w:t>W niniejszej sprawie Trybunał musi przede wszystkim ustalić, czy</w:t>
      </w:r>
      <w:r w:rsidR="001F5A65">
        <w:rPr>
          <w:rFonts w:eastAsia="Times New Roman"/>
          <w:lang w:val="pl-PL"/>
        </w:rPr>
        <w:t> </w:t>
      </w:r>
      <w:r w:rsidRPr="00977945">
        <w:rPr>
          <w:rFonts w:eastAsia="Times New Roman"/>
          <w:lang w:val="pl-PL"/>
        </w:rPr>
        <w:t xml:space="preserve">postanowienie z dnia 7 sierpnia 2008 r. rzeczywiście stanowiło </w:t>
      </w:r>
      <w:r w:rsidRPr="00977945">
        <w:rPr>
          <w:rFonts w:eastAsia="Times New Roman"/>
          <w:lang w:val="pl-PL"/>
        </w:rPr>
        <w:t>wyrok uniewinniający</w:t>
      </w:r>
      <w:r w:rsidR="00EF1CE5">
        <w:rPr>
          <w:rFonts w:eastAsia="Times New Roman"/>
          <w:lang w:val="pl-PL"/>
        </w:rPr>
        <w:t xml:space="preserve"> lub </w:t>
      </w:r>
      <w:r w:rsidRPr="00977945">
        <w:rPr>
          <w:rFonts w:eastAsia="Times New Roman"/>
          <w:lang w:val="pl-PL"/>
        </w:rPr>
        <w:t>skazujący</w:t>
      </w:r>
      <w:r w:rsidRPr="00977945">
        <w:rPr>
          <w:rFonts w:eastAsia="Times New Roman"/>
          <w:lang w:val="pl-PL"/>
        </w:rPr>
        <w:t>. W takim przypadku należy sprawdzić, czy</w:t>
      </w:r>
      <w:r w:rsidR="001F5A65">
        <w:rPr>
          <w:rFonts w:eastAsia="Times New Roman"/>
          <w:lang w:val="pl-PL"/>
        </w:rPr>
        <w:t> </w:t>
      </w:r>
      <w:r w:rsidRPr="00977945">
        <w:rPr>
          <w:rFonts w:eastAsia="Times New Roman"/>
          <w:lang w:val="pl-PL"/>
        </w:rPr>
        <w:t>postanowienie to było orzeczeniem „prawomocnym” w rozumieniu art.</w:t>
      </w:r>
      <w:r w:rsidR="001F5A65">
        <w:rPr>
          <w:rFonts w:eastAsia="Times New Roman"/>
          <w:lang w:val="pl-PL"/>
        </w:rPr>
        <w:t> </w:t>
      </w:r>
      <w:r w:rsidRPr="00977945">
        <w:rPr>
          <w:rFonts w:eastAsia="Times New Roman"/>
          <w:lang w:val="pl-PL"/>
        </w:rPr>
        <w:t>4 Protokołu nr 7. Aby odpowiedzieć na te pytania, Trybunał musi przeprowadzić szerszą analizę art. 4 Protokołu nr 7 w świetle właściwego orzecznictwa.</w:t>
      </w:r>
    </w:p>
    <w:p w14:paraId="542947E2" w14:textId="590E347A" w:rsidR="009E53C0" w:rsidRPr="00977945" w:rsidRDefault="009E53C0" w:rsidP="000D30FE">
      <w:pPr>
        <w:pStyle w:val="ECHRPara"/>
        <w:rPr>
          <w:lang w:val="pl-PL"/>
        </w:rPr>
      </w:pPr>
      <w:bookmarkStart w:id="68" w:name="P90"/>
      <w:r w:rsidRPr="00977945">
        <w:rPr>
          <w:lang w:val="pl-PL"/>
        </w:rPr>
        <w:t>90</w:t>
      </w:r>
      <w:bookmarkEnd w:id="68"/>
      <w:r w:rsidRPr="00977945">
        <w:rPr>
          <w:lang w:val="pl-PL"/>
        </w:rPr>
        <w:t>.</w:t>
      </w:r>
      <w:r>
        <w:rPr>
          <w:lang w:val="pl-PL"/>
        </w:rPr>
        <w:t xml:space="preserve"> </w:t>
      </w:r>
      <w:r w:rsidRPr="00977945">
        <w:rPr>
          <w:lang w:val="pl-PL"/>
        </w:rPr>
        <w:t>W tym celu Trybunał przypomina, że Konwencja, będąc traktatem międzynarodowym, musi być interpretowana w świetle reguł interpretacji przewidzianych w art.</w:t>
      </w:r>
      <w:r w:rsidR="000F46C5">
        <w:rPr>
          <w:lang w:val="pl-PL"/>
        </w:rPr>
        <w:t xml:space="preserve"> </w:t>
      </w:r>
      <w:r w:rsidRPr="00977945">
        <w:rPr>
          <w:lang w:val="pl-PL"/>
        </w:rPr>
        <w:t>31 do 33 Konwencji wiedeńskiej o prawie traktatów z</w:t>
      </w:r>
      <w:r w:rsidR="001F5A65">
        <w:rPr>
          <w:lang w:val="pl-PL"/>
        </w:rPr>
        <w:t> </w:t>
      </w:r>
      <w:r w:rsidRPr="00977945">
        <w:rPr>
          <w:lang w:val="pl-PL"/>
        </w:rPr>
        <w:t>dnia 23</w:t>
      </w:r>
      <w:r w:rsidR="000F46C5">
        <w:rPr>
          <w:lang w:val="pl-PL"/>
        </w:rPr>
        <w:t xml:space="preserve"> </w:t>
      </w:r>
      <w:r w:rsidRPr="00977945">
        <w:rPr>
          <w:lang w:val="pl-PL"/>
        </w:rPr>
        <w:t>maja 1969</w:t>
      </w:r>
      <w:r w:rsidR="000F46C5">
        <w:rPr>
          <w:lang w:val="pl-PL"/>
        </w:rPr>
        <w:t xml:space="preserve"> </w:t>
      </w:r>
      <w:r w:rsidRPr="00977945">
        <w:rPr>
          <w:lang w:val="pl-PL"/>
        </w:rPr>
        <w:t>r. (zob.</w:t>
      </w:r>
      <w:r w:rsidR="000F46C5">
        <w:rPr>
          <w:lang w:val="pl-PL"/>
        </w:rPr>
        <w:t xml:space="preserve"> </w:t>
      </w:r>
      <w:r w:rsidRPr="00977945">
        <w:rPr>
          <w:i/>
          <w:iCs/>
          <w:lang w:val="pl-PL"/>
        </w:rPr>
        <w:t>Golder przeciwko Zjednoczonemu Królestwu</w:t>
      </w:r>
      <w:r w:rsidRPr="00977945">
        <w:rPr>
          <w:lang w:val="pl-PL"/>
        </w:rPr>
        <w:t>, 21</w:t>
      </w:r>
      <w:r w:rsidR="001F5A65">
        <w:rPr>
          <w:lang w:val="pl-PL"/>
        </w:rPr>
        <w:t> </w:t>
      </w:r>
      <w:r w:rsidRPr="00977945">
        <w:rPr>
          <w:lang w:val="pl-PL"/>
        </w:rPr>
        <w:t>lutego 1975 r., § 29, Seria A nr</w:t>
      </w:r>
      <w:r w:rsidR="000F46C5">
        <w:rPr>
          <w:lang w:val="pl-PL"/>
        </w:rPr>
        <w:t xml:space="preserve"> </w:t>
      </w:r>
      <w:r w:rsidRPr="00977945">
        <w:rPr>
          <w:lang w:val="pl-PL"/>
        </w:rPr>
        <w:t xml:space="preserve">18, oraz </w:t>
      </w:r>
      <w:r w:rsidRPr="00977945">
        <w:rPr>
          <w:i/>
          <w:iCs/>
          <w:lang w:val="pl-PL"/>
        </w:rPr>
        <w:t xml:space="preserve">Magyar Helsinki Bizottság przeciwko </w:t>
      </w:r>
      <w:r w:rsidRPr="00977945">
        <w:rPr>
          <w:lang w:val="pl-PL"/>
        </w:rPr>
        <w:t>Węgrom [WI], nr 18030/11, §</w:t>
      </w:r>
      <w:r w:rsidR="000F46C5">
        <w:rPr>
          <w:lang w:val="pl-PL"/>
        </w:rPr>
        <w:t xml:space="preserve"> </w:t>
      </w:r>
      <w:r w:rsidRPr="00977945">
        <w:rPr>
          <w:lang w:val="pl-PL"/>
        </w:rPr>
        <w:t xml:space="preserve">118, 8 listopada 2016 r.). </w:t>
      </w:r>
      <w:r w:rsidRPr="00977945">
        <w:rPr>
          <w:lang w:val="pl-PL"/>
        </w:rPr>
        <w:lastRenderedPageBreak/>
        <w:t>Z</w:t>
      </w:r>
      <w:r w:rsidR="001F5A65">
        <w:rPr>
          <w:lang w:val="pl-PL"/>
        </w:rPr>
        <w:t> </w:t>
      </w:r>
      <w:r w:rsidRPr="00977945">
        <w:rPr>
          <w:lang w:val="pl-PL"/>
        </w:rPr>
        <w:t>tego</w:t>
      </w:r>
      <w:r w:rsidR="001F5A65">
        <w:rPr>
          <w:lang w:val="pl-PL"/>
        </w:rPr>
        <w:t> </w:t>
      </w:r>
      <w:r w:rsidRPr="00977945">
        <w:rPr>
          <w:lang w:val="pl-PL"/>
        </w:rPr>
        <w:t>względu w myśl konwencji wiedeńskiej Trybunał jest zobowiązany zapewnić nadanie wyrazom zwykłego znaczenia w ich kontekście i</w:t>
      </w:r>
      <w:r w:rsidR="000F46C5">
        <w:rPr>
          <w:lang w:val="pl-PL"/>
        </w:rPr>
        <w:t xml:space="preserve"> </w:t>
      </w:r>
      <w:r w:rsidRPr="00977945">
        <w:rPr>
          <w:lang w:val="pl-PL"/>
        </w:rPr>
        <w:t>w</w:t>
      </w:r>
      <w:r w:rsidR="000F46C5">
        <w:rPr>
          <w:lang w:val="pl-PL"/>
        </w:rPr>
        <w:t xml:space="preserve"> </w:t>
      </w:r>
      <w:r w:rsidRPr="00977945">
        <w:rPr>
          <w:lang w:val="pl-PL"/>
        </w:rPr>
        <w:t>świetle przedmiotu i celu postanowienia, w którym zostały użyte (zob.</w:t>
      </w:r>
      <w:r w:rsidR="000F46C5">
        <w:rPr>
          <w:lang w:val="pl-PL"/>
        </w:rPr>
        <w:t xml:space="preserve"> </w:t>
      </w:r>
      <w:r w:rsidRPr="00977945">
        <w:rPr>
          <w:i/>
          <w:iCs/>
          <w:lang w:val="pl-PL"/>
        </w:rPr>
        <w:t>Johnston i</w:t>
      </w:r>
      <w:r w:rsidR="001F5A65">
        <w:rPr>
          <w:i/>
          <w:iCs/>
          <w:lang w:val="pl-PL"/>
        </w:rPr>
        <w:t> </w:t>
      </w:r>
      <w:r w:rsidRPr="00977945">
        <w:rPr>
          <w:i/>
          <w:iCs/>
          <w:lang w:val="pl-PL"/>
        </w:rPr>
        <w:t>Inni przeciwko Irlandii</w:t>
      </w:r>
      <w:r w:rsidRPr="00977945">
        <w:rPr>
          <w:lang w:val="pl-PL"/>
        </w:rPr>
        <w:t>, 18 grudnia 1986 r., § 51, Seria A nr</w:t>
      </w:r>
      <w:r w:rsidR="000F46C5">
        <w:rPr>
          <w:lang w:val="pl-PL"/>
        </w:rPr>
        <w:t xml:space="preserve"> </w:t>
      </w:r>
      <w:r w:rsidRPr="00977945">
        <w:rPr>
          <w:lang w:val="pl-PL"/>
        </w:rPr>
        <w:t>112, oraz art.</w:t>
      </w:r>
      <w:r w:rsidR="001F5A65">
        <w:rPr>
          <w:lang w:val="pl-PL"/>
        </w:rPr>
        <w:t> </w:t>
      </w:r>
      <w:r w:rsidRPr="00977945">
        <w:rPr>
          <w:lang w:val="pl-PL"/>
        </w:rPr>
        <w:t>31 ust.</w:t>
      </w:r>
      <w:r w:rsidR="000F46C5">
        <w:rPr>
          <w:lang w:val="pl-PL"/>
        </w:rPr>
        <w:t xml:space="preserve"> </w:t>
      </w:r>
      <w:r w:rsidRPr="00977945">
        <w:rPr>
          <w:lang w:val="pl-PL"/>
        </w:rPr>
        <w:t>1</w:t>
      </w:r>
      <w:r>
        <w:rPr>
          <w:lang w:val="pl-PL"/>
        </w:rPr>
        <w:t xml:space="preserve"> </w:t>
      </w:r>
      <w:r w:rsidRPr="00977945">
        <w:rPr>
          <w:lang w:val="pl-PL"/>
        </w:rPr>
        <w:t>konwencji wiedeńskiej, cytowany powyżej w</w:t>
      </w:r>
      <w:r w:rsidR="000F46C5">
        <w:rPr>
          <w:lang w:val="pl-PL"/>
        </w:rPr>
        <w:t xml:space="preserve"> </w:t>
      </w:r>
      <w:r w:rsidRPr="00977945">
        <w:rPr>
          <w:lang w:val="pl-PL"/>
        </w:rPr>
        <w:t>paragrafie</w:t>
      </w:r>
      <w:r w:rsidR="000F46C5">
        <w:rPr>
          <w:lang w:val="pl-PL"/>
        </w:rPr>
        <w:t xml:space="preserve"> </w:t>
      </w:r>
      <w:r w:rsidRPr="00977945">
        <w:rPr>
          <w:lang w:val="pl-PL"/>
        </w:rPr>
        <w:t>39).</w:t>
      </w:r>
    </w:p>
    <w:p w14:paraId="4EB77F0B" w14:textId="308A0779" w:rsidR="009E53C0" w:rsidRPr="00977945" w:rsidRDefault="009E53C0" w:rsidP="000D30FE">
      <w:pPr>
        <w:pStyle w:val="ECHRPara"/>
        <w:rPr>
          <w:lang w:val="pl-PL"/>
        </w:rPr>
      </w:pPr>
      <w:bookmarkStart w:id="69" w:name="P91"/>
      <w:r w:rsidRPr="00977945">
        <w:rPr>
          <w:lang w:val="pl-PL"/>
        </w:rPr>
        <w:t>91</w:t>
      </w:r>
      <w:bookmarkEnd w:id="69"/>
      <w:r w:rsidRPr="00977945">
        <w:rPr>
          <w:lang w:val="pl-PL"/>
        </w:rPr>
        <w:t>.</w:t>
      </w:r>
      <w:r>
        <w:rPr>
          <w:lang w:val="pl-PL"/>
        </w:rPr>
        <w:t xml:space="preserve"> </w:t>
      </w:r>
      <w:r w:rsidRPr="00977945">
        <w:rPr>
          <w:lang w:val="pl-PL"/>
        </w:rPr>
        <w:t>Ponadto, w celu interpretacji postanowień Konwencji i Protokołów do</w:t>
      </w:r>
      <w:r w:rsidR="001F5A65">
        <w:rPr>
          <w:lang w:val="pl-PL"/>
        </w:rPr>
        <w:t> </w:t>
      </w:r>
      <w:r w:rsidRPr="00977945">
        <w:rPr>
          <w:lang w:val="pl-PL"/>
        </w:rPr>
        <w:t>niej w świetle ich przedmiotu i celu, Trybunał rozwinął w swoim orzecznictwie dodatkowe środki wykładni, a mianowicie zasady wykładni autonomicznej i ewolucyjnej oraz marginesu oceny. Zasady te wymagają, aby postanowienia Konwencji i Protokołów do niej były interpretowane i</w:t>
      </w:r>
      <w:r w:rsidR="001F5A65">
        <w:rPr>
          <w:lang w:val="pl-PL"/>
        </w:rPr>
        <w:t> </w:t>
      </w:r>
      <w:r w:rsidRPr="00977945">
        <w:rPr>
          <w:lang w:val="pl-PL"/>
        </w:rPr>
        <w:t>stosowane w taki sposób, aby ich zabezpieczenia były praktyczne i</w:t>
      </w:r>
      <w:r w:rsidR="001F5A65">
        <w:rPr>
          <w:lang w:val="pl-PL"/>
        </w:rPr>
        <w:t> </w:t>
      </w:r>
      <w:r w:rsidRPr="00977945">
        <w:rPr>
          <w:lang w:val="pl-PL"/>
        </w:rPr>
        <w:t xml:space="preserve">skuteczne, a nie teoretyczne i iluzoryczne (zob. </w:t>
      </w:r>
      <w:r w:rsidRPr="00977945">
        <w:rPr>
          <w:i/>
          <w:iCs/>
          <w:lang w:val="pl-PL"/>
        </w:rPr>
        <w:t>Soering przeciwko Zjednoczonemu Królestwu</w:t>
      </w:r>
      <w:r w:rsidRPr="00977945">
        <w:rPr>
          <w:lang w:val="pl-PL"/>
        </w:rPr>
        <w:t>, 7 lipca 1989 r., § 87, Seria A nr</w:t>
      </w:r>
      <w:r w:rsidR="000F46C5">
        <w:rPr>
          <w:lang w:val="pl-PL"/>
        </w:rPr>
        <w:t xml:space="preserve"> </w:t>
      </w:r>
      <w:r w:rsidRPr="00977945">
        <w:rPr>
          <w:lang w:val="pl-PL"/>
        </w:rPr>
        <w:t>161).</w:t>
      </w:r>
    </w:p>
    <w:p w14:paraId="7091AFF2" w14:textId="29EA2667" w:rsidR="009E53C0" w:rsidRPr="00977945" w:rsidRDefault="009E53C0" w:rsidP="000D30FE">
      <w:pPr>
        <w:pStyle w:val="ECHRPara"/>
        <w:rPr>
          <w:lang w:val="pl-PL"/>
        </w:rPr>
      </w:pPr>
      <w:r w:rsidRPr="00977945">
        <w:rPr>
          <w:lang w:val="pl-PL"/>
        </w:rPr>
        <w:t>92.</w:t>
      </w:r>
      <w:r>
        <w:rPr>
          <w:lang w:val="pl-PL"/>
        </w:rPr>
        <w:t xml:space="preserve"> </w:t>
      </w:r>
      <w:r w:rsidRPr="00977945">
        <w:rPr>
          <w:lang w:val="pl-PL"/>
        </w:rPr>
        <w:t xml:space="preserve">Należy również mieć na względzie fakt, że </w:t>
      </w:r>
      <w:r w:rsidRPr="00977945">
        <w:rPr>
          <w:color w:val="000000"/>
          <w:lang w:val="pl-PL"/>
        </w:rPr>
        <w:t xml:space="preserve">kontekstem przedmiotowego postanowienia jest traktat na rzecz skutecznej ochrony praw człowieka przysługujących poszczególnym osobom </w:t>
      </w:r>
      <w:r w:rsidRPr="00977945">
        <w:rPr>
          <w:lang w:val="pl-PL"/>
        </w:rPr>
        <w:t>oraz że</w:t>
      </w:r>
      <w:r w:rsidR="000F46C5">
        <w:rPr>
          <w:lang w:val="pl-PL"/>
        </w:rPr>
        <w:t xml:space="preserve"> </w:t>
      </w:r>
      <w:r w:rsidRPr="00977945">
        <w:rPr>
          <w:lang w:val="pl-PL"/>
        </w:rPr>
        <w:t>Konwencję należy rozpatrywać jako całość i interpretować w</w:t>
      </w:r>
      <w:r w:rsidR="000F46C5">
        <w:rPr>
          <w:lang w:val="pl-PL"/>
        </w:rPr>
        <w:t xml:space="preserve"> </w:t>
      </w:r>
      <w:r w:rsidRPr="00977945">
        <w:rPr>
          <w:lang w:val="pl-PL"/>
        </w:rPr>
        <w:t>taki sposób, by promować jej spójność wewnętrzną oraz zgodność między jej poszczególnymi postanowieniami (zob.</w:t>
      </w:r>
      <w:r w:rsidR="000F46C5">
        <w:rPr>
          <w:lang w:val="pl-PL"/>
        </w:rPr>
        <w:t xml:space="preserve"> </w:t>
      </w:r>
      <w:r w:rsidRPr="00977945">
        <w:rPr>
          <w:i/>
          <w:iCs/>
          <w:lang w:val="pl-PL"/>
        </w:rPr>
        <w:t>Stec i Inni przeciwko Zjednoczonemu Królestwu</w:t>
      </w:r>
      <w:r w:rsidRPr="00977945">
        <w:rPr>
          <w:lang w:val="pl-PL"/>
        </w:rPr>
        <w:t xml:space="preserve"> (dec.) [WI], nr</w:t>
      </w:r>
      <w:r w:rsidR="000F46C5">
        <w:rPr>
          <w:lang w:val="pl-PL"/>
        </w:rPr>
        <w:t xml:space="preserve"> </w:t>
      </w:r>
      <w:r w:rsidRPr="00977945">
        <w:rPr>
          <w:lang w:val="pl-PL"/>
        </w:rPr>
        <w:t>65731/01 i 65900/01, §§</w:t>
      </w:r>
      <w:r w:rsidR="000F46C5">
        <w:rPr>
          <w:lang w:val="pl-PL"/>
        </w:rPr>
        <w:t xml:space="preserve"> </w:t>
      </w:r>
      <w:r w:rsidRPr="00977945">
        <w:rPr>
          <w:lang w:val="pl-PL"/>
        </w:rPr>
        <w:t xml:space="preserve">47–48, </w:t>
      </w:r>
      <w:r w:rsidR="000F46C5">
        <w:rPr>
          <w:lang w:val="pl-PL"/>
        </w:rPr>
        <w:t>ETPC</w:t>
      </w:r>
      <w:r w:rsidRPr="00977945">
        <w:rPr>
          <w:lang w:val="pl-PL"/>
        </w:rPr>
        <w:t xml:space="preserve"> 2005-X oraz </w:t>
      </w:r>
      <w:r w:rsidRPr="00977945">
        <w:rPr>
          <w:i/>
          <w:iCs/>
          <w:lang w:val="pl-PL"/>
        </w:rPr>
        <w:t>Magyar Helsinki Bizottság</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120).</w:t>
      </w:r>
    </w:p>
    <w:p w14:paraId="2017C6C9" w14:textId="16CFF76A" w:rsidR="009E53C0" w:rsidRPr="00977945" w:rsidRDefault="009E53C0" w:rsidP="000D30FE">
      <w:pPr>
        <w:pStyle w:val="ECHRHeading6"/>
        <w:rPr>
          <w:rFonts w:eastAsia="Times New Roman"/>
          <w:lang w:val="pl-PL"/>
        </w:rPr>
      </w:pPr>
      <w:r w:rsidRPr="00977945">
        <w:rPr>
          <w:lang w:val="pl-PL"/>
        </w:rPr>
        <w:t>(α)</w:t>
      </w:r>
      <w:r w:rsidR="000F46C5">
        <w:rPr>
          <w:lang w:val="pl-PL"/>
        </w:rPr>
        <w:t xml:space="preserve"> </w:t>
      </w:r>
      <w:r w:rsidRPr="00977945">
        <w:rPr>
          <w:lang w:val="pl-PL"/>
        </w:rPr>
        <w:t>W odniesieniu do zakresu pojęć „uniewinnienia” i „skazania”</w:t>
      </w:r>
    </w:p>
    <w:p w14:paraId="4B31C7D6" w14:textId="3A4D8AEB" w:rsidR="009E53C0" w:rsidRPr="00977945" w:rsidRDefault="009E53C0" w:rsidP="000D30FE">
      <w:pPr>
        <w:pStyle w:val="ECHRPara"/>
        <w:rPr>
          <w:lang w:val="pl-PL"/>
        </w:rPr>
      </w:pPr>
      <w:r w:rsidRPr="00977945">
        <w:rPr>
          <w:lang w:val="pl-PL"/>
        </w:rPr>
        <w:t>93.</w:t>
      </w:r>
      <w:r>
        <w:rPr>
          <w:lang w:val="pl-PL"/>
        </w:rPr>
        <w:t xml:space="preserve"> </w:t>
      </w:r>
      <w:r w:rsidRPr="00977945">
        <w:rPr>
          <w:lang w:val="pl-PL"/>
        </w:rPr>
        <w:t>Przed szczegółowym przedstawieniem treści tych pojęć Trybunał uzna</w:t>
      </w:r>
      <w:r w:rsidR="00424470">
        <w:rPr>
          <w:lang w:val="pl-PL"/>
        </w:rPr>
        <w:t>je</w:t>
      </w:r>
      <w:r w:rsidRPr="00977945">
        <w:rPr>
          <w:lang w:val="pl-PL"/>
        </w:rPr>
        <w:t xml:space="preserve"> za użyteczne rozważenie, czy interwencja sądowa w postępowaniu jest konieczna, aby decyzję można było uznać za „uniewinnienie” lub</w:t>
      </w:r>
      <w:r w:rsidR="001F5A65">
        <w:rPr>
          <w:lang w:val="pl-PL"/>
        </w:rPr>
        <w:t> </w:t>
      </w:r>
      <w:r w:rsidRPr="00977945">
        <w:rPr>
          <w:lang w:val="pl-PL"/>
        </w:rPr>
        <w:t>„skazanie”.</w:t>
      </w:r>
    </w:p>
    <w:p w14:paraId="4FCC4D22" w14:textId="77777777" w:rsidR="009E53C0" w:rsidRPr="00977945" w:rsidRDefault="009E53C0" w:rsidP="000D30FE">
      <w:pPr>
        <w:pStyle w:val="ECHRHeading7"/>
        <w:rPr>
          <w:rFonts w:eastAsia="Times New Roman"/>
          <w:lang w:val="pl-PL"/>
        </w:rPr>
      </w:pPr>
      <w:r w:rsidRPr="00977945">
        <w:rPr>
          <w:rFonts w:eastAsia="Times New Roman"/>
          <w:lang w:val="pl-PL"/>
        </w:rPr>
        <w:t>–</w:t>
      </w:r>
      <w:r>
        <w:rPr>
          <w:rFonts w:eastAsia="Times New Roman"/>
          <w:lang w:val="pl-PL"/>
        </w:rPr>
        <w:t xml:space="preserve"> </w:t>
      </w:r>
      <w:r w:rsidRPr="00977945">
        <w:rPr>
          <w:rFonts w:eastAsia="Times New Roman"/>
          <w:lang w:val="pl-PL"/>
        </w:rPr>
        <w:t>Czy konieczna jest interwencja sądu</w:t>
      </w:r>
    </w:p>
    <w:p w14:paraId="6BB7FCDF" w14:textId="645C3AA9" w:rsidR="009E53C0" w:rsidRPr="00977945" w:rsidRDefault="009E53C0" w:rsidP="000D30FE">
      <w:pPr>
        <w:pStyle w:val="ECHRPara"/>
        <w:rPr>
          <w:lang w:val="pl-PL"/>
        </w:rPr>
      </w:pPr>
      <w:r w:rsidRPr="00977945">
        <w:rPr>
          <w:lang w:val="pl-PL"/>
        </w:rPr>
        <w:t>94.</w:t>
      </w:r>
      <w:r>
        <w:rPr>
          <w:lang w:val="pl-PL"/>
        </w:rPr>
        <w:t xml:space="preserve"> </w:t>
      </w:r>
      <w:r w:rsidRPr="00977945">
        <w:rPr>
          <w:lang w:val="pl-PL"/>
        </w:rPr>
        <w:t>Analizując dwie autentyczne wersje – angielską i francuską – art. 4 Protokołu nr 7, Trybunał zauważa różnicę w brzmieniu obu tekstów: francuska wersja art. 4 Protokołu nr 7 przewiduje, że dana osoba musi być „</w:t>
      </w:r>
      <w:r w:rsidRPr="00424470">
        <w:rPr>
          <w:i/>
          <w:lang w:val="pl-PL"/>
        </w:rPr>
        <w:t>acquitté ou condamné par un jugement</w:t>
      </w:r>
      <w:r w:rsidRPr="00977945">
        <w:rPr>
          <w:lang w:val="pl-PL"/>
        </w:rPr>
        <w:t xml:space="preserve">” </w:t>
      </w:r>
      <w:r w:rsidR="00424470">
        <w:rPr>
          <w:lang w:val="pl-PL"/>
        </w:rPr>
        <w:t>[„</w:t>
      </w:r>
      <w:r w:rsidR="00424470" w:rsidRPr="00424470">
        <w:rPr>
          <w:lang w:val="pl-PL"/>
        </w:rPr>
        <w:t>uniewinniona lub skazana wyrokiem</w:t>
      </w:r>
      <w:r w:rsidR="00424470">
        <w:rPr>
          <w:lang w:val="pl-PL"/>
        </w:rPr>
        <w:t xml:space="preserve">”], </w:t>
      </w:r>
      <w:r w:rsidRPr="00424470">
        <w:rPr>
          <w:lang w:val="pl-PL"/>
        </w:rPr>
        <w:t>podczas</w:t>
      </w:r>
      <w:r w:rsidRPr="00977945">
        <w:rPr>
          <w:lang w:val="pl-PL"/>
        </w:rPr>
        <w:t xml:space="preserve"> gdy angielska wersja tego samego postanowienia stanowi, że dana osoba musi być „</w:t>
      </w:r>
      <w:r w:rsidRPr="00424470">
        <w:rPr>
          <w:i/>
          <w:lang w:val="pl-PL"/>
        </w:rPr>
        <w:t>finally acquitted or convicted</w:t>
      </w:r>
      <w:r w:rsidRPr="00977945">
        <w:rPr>
          <w:lang w:val="pl-PL"/>
        </w:rPr>
        <w:t>” [„</w:t>
      </w:r>
      <w:r w:rsidR="00424470">
        <w:rPr>
          <w:lang w:val="pl-PL"/>
        </w:rPr>
        <w:t xml:space="preserve">prawomocnie uniewinniona lub </w:t>
      </w:r>
      <w:r w:rsidRPr="00977945">
        <w:rPr>
          <w:lang w:val="pl-PL"/>
        </w:rPr>
        <w:t>skazana</w:t>
      </w:r>
      <w:r w:rsidR="00424470">
        <w:rPr>
          <w:lang w:val="pl-PL"/>
        </w:rPr>
        <w:t>”</w:t>
      </w:r>
      <w:r w:rsidRPr="00977945">
        <w:rPr>
          <w:lang w:val="pl-PL"/>
        </w:rPr>
        <w:t>]. Wersja francuska wskazuje zatem, że uniewinnienie lub skazanie musi wynikać z „jugement” [</w:t>
      </w:r>
      <w:r w:rsidRPr="00977945">
        <w:rPr>
          <w:lang w:val="pl-PL"/>
        </w:rPr>
        <w:t xml:space="preserve">fr. </w:t>
      </w:r>
      <w:r w:rsidRPr="00977945">
        <w:rPr>
          <w:lang w:val="pl-PL"/>
        </w:rPr>
        <w:t>wyrok], podczas gdy wersja angielska nie precyzuje, jaką formę powinno przybrać uniewinnienie bądź skazanie. Tak więc w konfrontacji z wersjami traktatu prawotwórczego, które są równie autentyczne, ale nie dokładnie takie same, Trybunał musi dokonać ich wykładni w taki sposób, aby je w</w:t>
      </w:r>
      <w:r w:rsidR="001F5A65">
        <w:rPr>
          <w:lang w:val="pl-PL"/>
        </w:rPr>
        <w:t> </w:t>
      </w:r>
      <w:r w:rsidRPr="00977945">
        <w:rPr>
          <w:lang w:val="pl-PL"/>
        </w:rPr>
        <w:t>jak</w:t>
      </w:r>
      <w:r w:rsidR="001F5A65">
        <w:rPr>
          <w:lang w:val="pl-PL"/>
        </w:rPr>
        <w:t> </w:t>
      </w:r>
      <w:r w:rsidRPr="00977945">
        <w:rPr>
          <w:lang w:val="pl-PL"/>
        </w:rPr>
        <w:t>największym stopniu pogodzić i aby były one najwłaściwsze pod</w:t>
      </w:r>
      <w:r w:rsidR="001F5A65">
        <w:rPr>
          <w:lang w:val="pl-PL"/>
        </w:rPr>
        <w:t> </w:t>
      </w:r>
      <w:r w:rsidRPr="00977945">
        <w:rPr>
          <w:lang w:val="pl-PL"/>
        </w:rPr>
        <w:t>względem realizacji celu i osiągnięcia przedmiotu traktatu (zob.</w:t>
      </w:r>
      <w:r w:rsidR="001F5A65">
        <w:rPr>
          <w:lang w:val="pl-PL"/>
        </w:rPr>
        <w:t> </w:t>
      </w:r>
      <w:r w:rsidRPr="00977945">
        <w:rPr>
          <w:i/>
          <w:iCs/>
          <w:lang w:val="pl-PL"/>
        </w:rPr>
        <w:t>The</w:t>
      </w:r>
      <w:r w:rsidR="001F5A65">
        <w:rPr>
          <w:i/>
          <w:iCs/>
          <w:lang w:val="pl-PL"/>
        </w:rPr>
        <w:t> </w:t>
      </w:r>
      <w:r w:rsidRPr="00977945">
        <w:rPr>
          <w:i/>
          <w:iCs/>
          <w:lang w:val="pl-PL"/>
        </w:rPr>
        <w:t>Sunday Times przeciwko Zjednoczonemu Królestwu (nr 1)</w:t>
      </w:r>
      <w:r w:rsidRPr="00977945">
        <w:rPr>
          <w:lang w:val="pl-PL"/>
        </w:rPr>
        <w:t xml:space="preserve">, </w:t>
      </w:r>
      <w:r w:rsidRPr="00977945">
        <w:rPr>
          <w:lang w:val="pl-PL"/>
        </w:rPr>
        <w:lastRenderedPageBreak/>
        <w:t>26</w:t>
      </w:r>
      <w:r w:rsidR="001F5A65">
        <w:rPr>
          <w:lang w:val="pl-PL"/>
        </w:rPr>
        <w:t> </w:t>
      </w:r>
      <w:r w:rsidRPr="00977945">
        <w:rPr>
          <w:lang w:val="pl-PL"/>
        </w:rPr>
        <w:t>kwietnia 1979 r., §</w:t>
      </w:r>
      <w:r w:rsidR="000F46C5">
        <w:rPr>
          <w:lang w:val="pl-PL"/>
        </w:rPr>
        <w:t xml:space="preserve"> </w:t>
      </w:r>
      <w:r w:rsidRPr="00977945">
        <w:rPr>
          <w:lang w:val="pl-PL"/>
        </w:rPr>
        <w:t>48, Seria A nr</w:t>
      </w:r>
      <w:r w:rsidR="000F46C5">
        <w:rPr>
          <w:lang w:val="pl-PL"/>
        </w:rPr>
        <w:t xml:space="preserve"> </w:t>
      </w:r>
      <w:r w:rsidRPr="00977945">
        <w:rPr>
          <w:lang w:val="pl-PL"/>
        </w:rPr>
        <w:t xml:space="preserve">30, oraz </w:t>
      </w:r>
      <w:r w:rsidR="00424470">
        <w:rPr>
          <w:lang w:val="pl-PL"/>
        </w:rPr>
        <w:t xml:space="preserve">art. </w:t>
      </w:r>
      <w:r w:rsidRPr="00977945">
        <w:rPr>
          <w:lang w:val="pl-PL"/>
        </w:rPr>
        <w:t>33 ust. 4 Konwencji wiedeńskiej o prawie traktatów).</w:t>
      </w:r>
    </w:p>
    <w:p w14:paraId="0C6CE9F5" w14:textId="3D643B34" w:rsidR="009E53C0" w:rsidRPr="00977945" w:rsidRDefault="009E53C0" w:rsidP="000D30FE">
      <w:pPr>
        <w:pStyle w:val="ECHRPara"/>
        <w:rPr>
          <w:lang w:val="pl-PL"/>
        </w:rPr>
      </w:pPr>
      <w:r w:rsidRPr="00977945">
        <w:rPr>
          <w:lang w:val="pl-PL"/>
        </w:rPr>
        <w:t>95.</w:t>
      </w:r>
      <w:r>
        <w:rPr>
          <w:lang w:val="pl-PL"/>
        </w:rPr>
        <w:t xml:space="preserve"> </w:t>
      </w:r>
      <w:r w:rsidRPr="00977945">
        <w:rPr>
          <w:lang w:val="pl-PL"/>
        </w:rPr>
        <w:t>Ze względu na kluczową rolę, jaką odgrywa art. 4 Protokołu nr 7 w</w:t>
      </w:r>
      <w:r w:rsidR="001F5A65">
        <w:rPr>
          <w:lang w:val="pl-PL"/>
        </w:rPr>
        <w:t> </w:t>
      </w:r>
      <w:r w:rsidRPr="00977945">
        <w:rPr>
          <w:lang w:val="pl-PL"/>
        </w:rPr>
        <w:t>systemie Konwencji</w:t>
      </w:r>
      <w:r w:rsidR="00824DFD">
        <w:rPr>
          <w:lang w:val="pl-PL"/>
        </w:rPr>
        <w:t>,</w:t>
      </w:r>
      <w:r w:rsidRPr="00977945">
        <w:rPr>
          <w:lang w:val="pl-PL"/>
        </w:rPr>
        <w:t xml:space="preserve"> oraz cel prawa, które zabezpiecza, użycie słowa „jugement” we francuskiej wersji tego artykułu nie może uzasadniać restrykcyjnego podejścia w odniesieniu do pojęcia osoby, która została „skazan[a] [...] lub uniewinnion[a]”. W każdym przypadku istotne jest, że</w:t>
      </w:r>
      <w:r w:rsidR="001F5A65">
        <w:rPr>
          <w:lang w:val="pl-PL"/>
        </w:rPr>
        <w:t> </w:t>
      </w:r>
      <w:r w:rsidRPr="00977945">
        <w:rPr>
          <w:lang w:val="pl-PL"/>
        </w:rPr>
        <w:t>dane orzeczenie zostało wydane przez organ uczestniczący w</w:t>
      </w:r>
      <w:r w:rsidR="001F5A65">
        <w:rPr>
          <w:lang w:val="pl-PL"/>
        </w:rPr>
        <w:t> </w:t>
      </w:r>
      <w:r w:rsidRPr="00977945">
        <w:rPr>
          <w:lang w:val="pl-PL"/>
        </w:rPr>
        <w:t>wymierzaniu sprawiedliwości w danym krajowym systemie prawnym i</w:t>
      </w:r>
      <w:r w:rsidR="001F5A65">
        <w:rPr>
          <w:lang w:val="pl-PL"/>
        </w:rPr>
        <w:t> </w:t>
      </w:r>
      <w:r w:rsidRPr="00977945">
        <w:rPr>
          <w:lang w:val="pl-PL"/>
        </w:rPr>
        <w:t>że</w:t>
      </w:r>
      <w:r w:rsidR="001F5A65">
        <w:rPr>
          <w:lang w:val="pl-PL"/>
        </w:rPr>
        <w:t> </w:t>
      </w:r>
      <w:r w:rsidRPr="00977945">
        <w:rPr>
          <w:lang w:val="pl-PL"/>
        </w:rPr>
        <w:t>organ ten jest właściwy na mocy prawa krajowego do stwierdzenia i,</w:t>
      </w:r>
      <w:r w:rsidR="00AE4551">
        <w:rPr>
          <w:lang w:val="pl-PL"/>
        </w:rPr>
        <w:t> </w:t>
      </w:r>
      <w:r w:rsidRPr="00977945">
        <w:rPr>
          <w:lang w:val="pl-PL"/>
        </w:rPr>
        <w:t>w</w:t>
      </w:r>
      <w:r w:rsidR="001F5A65">
        <w:rPr>
          <w:lang w:val="pl-PL"/>
        </w:rPr>
        <w:t> </w:t>
      </w:r>
      <w:r w:rsidRPr="00977945">
        <w:rPr>
          <w:lang w:val="pl-PL"/>
        </w:rPr>
        <w:t>stosownym przypadku, ukarania bezprawnego zachowania, o które oskarżono daną osobę. Fakt, że orzeczenie nie ma formy wyroku, nie może podważać uniewinnienia lub skazania danej osoby, ponieważ taki aspekt proceduralny i formalny nie może mieć wpływu na skutki orzeczenia. W</w:t>
      </w:r>
      <w:r w:rsidR="001F5A65">
        <w:rPr>
          <w:lang w:val="pl-PL"/>
        </w:rPr>
        <w:t> </w:t>
      </w:r>
      <w:r w:rsidRPr="00977945">
        <w:rPr>
          <w:lang w:val="pl-PL"/>
        </w:rPr>
        <w:t xml:space="preserve">rzeczy samej angielska wersja art. 4 Protokołu nr 7 wspiera tak szeroką interpretację tego pojęcia. Ponadto Trybunał konsekwentnie przyjmował podobne podejście przy określaniu skutków sytuacji prawnej, np. przy ustalaniu, czy postępowanie określone jako administracyjne w prawie krajowym wywołało skutki wymagające zaklasyfikowania go jako „karnego” w autonomicznym, przewidzianym w Konwencji rozumieniu tego terminu (zob. m.in., </w:t>
      </w:r>
      <w:r w:rsidRPr="00977945">
        <w:rPr>
          <w:i/>
          <w:iCs/>
          <w:lang w:val="pl-PL"/>
        </w:rPr>
        <w:t>A i B przeciwko Norwegii</w:t>
      </w:r>
      <w:r w:rsidRPr="00977945">
        <w:rPr>
          <w:lang w:val="pl-PL"/>
        </w:rPr>
        <w:t>, op.</w:t>
      </w:r>
      <w:r>
        <w:rPr>
          <w:lang w:val="pl-PL"/>
        </w:rPr>
        <w:t xml:space="preserve"> </w:t>
      </w:r>
      <w:r w:rsidRPr="00977945">
        <w:rPr>
          <w:lang w:val="pl-PL"/>
        </w:rPr>
        <w:t>cit., §§</w:t>
      </w:r>
      <w:r w:rsidR="000F46C5">
        <w:rPr>
          <w:lang w:val="pl-PL"/>
        </w:rPr>
        <w:t xml:space="preserve"> </w:t>
      </w:r>
      <w:r w:rsidRPr="00977945">
        <w:rPr>
          <w:lang w:val="pl-PL"/>
        </w:rPr>
        <w:t xml:space="preserve">139 i 148, oraz </w:t>
      </w:r>
      <w:r w:rsidRPr="00977945">
        <w:rPr>
          <w:i/>
          <w:iCs/>
          <w:lang w:val="pl-PL"/>
        </w:rPr>
        <w:t>Sergey Zolotukhin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 54–57; zob. też </w:t>
      </w:r>
      <w:r w:rsidRPr="00977945">
        <w:rPr>
          <w:i/>
          <w:iCs/>
          <w:lang w:val="pl-PL"/>
        </w:rPr>
        <w:t>Tsonyo Tsonev przeciwko Bułgarii (nr</w:t>
      </w:r>
      <w:r w:rsidR="001F5A65">
        <w:rPr>
          <w:i/>
          <w:iCs/>
          <w:lang w:val="pl-PL"/>
        </w:rPr>
        <w:t> </w:t>
      </w:r>
      <w:r w:rsidRPr="00977945">
        <w:rPr>
          <w:i/>
          <w:iCs/>
          <w:lang w:val="pl-PL"/>
        </w:rPr>
        <w:t>2</w:t>
      </w:r>
      <w:r w:rsidRPr="00977945">
        <w:rPr>
          <w:lang w:val="pl-PL"/>
        </w:rPr>
        <w:t>), nr 2376/03, § 54, 14 stycznia 2010 r., gdzie Trybunał wyszedł od</w:t>
      </w:r>
      <w:r w:rsidR="001F5A65">
        <w:rPr>
          <w:lang w:val="pl-PL"/>
        </w:rPr>
        <w:t> </w:t>
      </w:r>
      <w:r w:rsidRPr="00977945">
        <w:rPr>
          <w:lang w:val="pl-PL"/>
        </w:rPr>
        <w:t>stwierdzenia, że decyzja burmistrza o nałożeniu na skarżącego grzywny administracyjnej, która nie została zaskarżona do sądu i była wykonalna, stanowiła prawomocne orzeczenie w rozumieniu art.</w:t>
      </w:r>
      <w:r w:rsidR="000F46C5">
        <w:rPr>
          <w:lang w:val="pl-PL"/>
        </w:rPr>
        <w:t xml:space="preserve"> </w:t>
      </w:r>
      <w:r w:rsidRPr="00977945">
        <w:rPr>
          <w:lang w:val="pl-PL"/>
        </w:rPr>
        <w:t>4</w:t>
      </w:r>
      <w:r w:rsidR="000F46C5">
        <w:rPr>
          <w:lang w:val="pl-PL"/>
        </w:rPr>
        <w:t xml:space="preserve"> </w:t>
      </w:r>
      <w:r w:rsidRPr="00977945">
        <w:rPr>
          <w:lang w:val="pl-PL"/>
        </w:rPr>
        <w:t>Protokołu nr 7).</w:t>
      </w:r>
    </w:p>
    <w:p w14:paraId="495801B1" w14:textId="77777777" w:rsidR="009E53C0" w:rsidRPr="00977945" w:rsidRDefault="009E53C0" w:rsidP="000D30FE">
      <w:pPr>
        <w:pStyle w:val="ECHRPara"/>
        <w:rPr>
          <w:lang w:val="pl-PL"/>
        </w:rPr>
      </w:pPr>
      <w:r w:rsidRPr="00977945">
        <w:rPr>
          <w:lang w:val="pl-PL"/>
        </w:rPr>
        <w:t>W związku z tym Trybunał uważa, że interwencja sądu nie jest konieczna dla istnienia orzeczenia.</w:t>
      </w:r>
    </w:p>
    <w:p w14:paraId="5045CB27" w14:textId="77777777" w:rsidR="009E53C0" w:rsidRPr="00977945" w:rsidRDefault="009E53C0" w:rsidP="000D30FE">
      <w:pPr>
        <w:pStyle w:val="ECHRHeading7"/>
        <w:rPr>
          <w:lang w:val="pl-PL"/>
        </w:rPr>
      </w:pPr>
      <w:r w:rsidRPr="00977945">
        <w:rPr>
          <w:lang w:val="pl-PL"/>
        </w:rPr>
        <w:t>–</w:t>
      </w:r>
      <w:r>
        <w:rPr>
          <w:lang w:val="pl-PL"/>
        </w:rPr>
        <w:t xml:space="preserve"> </w:t>
      </w:r>
      <w:r w:rsidRPr="00977945">
        <w:rPr>
          <w:lang w:val="pl-PL"/>
        </w:rPr>
        <w:t>Treść pojęć „uniewinnienia” i „skazania”</w:t>
      </w:r>
    </w:p>
    <w:p w14:paraId="208F6791" w14:textId="17C20262" w:rsidR="009E53C0" w:rsidRPr="00977945" w:rsidRDefault="009E53C0" w:rsidP="000D30FE">
      <w:pPr>
        <w:pStyle w:val="ECHRPara"/>
        <w:rPr>
          <w:rFonts w:eastAsia="Times New Roman"/>
          <w:lang w:val="pl-PL"/>
        </w:rPr>
      </w:pPr>
      <w:r w:rsidRPr="00977945">
        <w:rPr>
          <w:lang w:val="pl-PL"/>
        </w:rPr>
        <w:t>96.</w:t>
      </w:r>
      <w:r>
        <w:rPr>
          <w:lang w:val="pl-PL"/>
        </w:rPr>
        <w:t xml:space="preserve"> </w:t>
      </w:r>
      <w:r w:rsidRPr="00977945">
        <w:rPr>
          <w:lang w:val="pl-PL"/>
        </w:rPr>
        <w:t>Dotychczas Trybunał nigdy nie zdefiniował w swoim orzecznictwie zakresu wyrażenia „skazany [...] lub uniewinniony” ani nie określił żadnych ogólnych kryteriów w tym względzie. Niemniej wielokrotnie orzekał, że</w:t>
      </w:r>
      <w:r w:rsidR="001F5A65">
        <w:rPr>
          <w:lang w:val="pl-PL"/>
        </w:rPr>
        <w:t> </w:t>
      </w:r>
      <w:r w:rsidRPr="00977945">
        <w:rPr>
          <w:lang w:val="pl-PL"/>
        </w:rPr>
        <w:t>umorzenie postępowania karnego przez prokuratora nie jest równoznaczne ani ze skazaniem, ani z uniewinnieniem, a zatem art. 4 Protokołu nr 7 nie</w:t>
      </w:r>
      <w:r w:rsidR="001F5A65">
        <w:rPr>
          <w:lang w:val="pl-PL"/>
        </w:rPr>
        <w:t> </w:t>
      </w:r>
      <w:r w:rsidRPr="00977945">
        <w:rPr>
          <w:lang w:val="pl-PL"/>
        </w:rPr>
        <w:t>ma</w:t>
      </w:r>
      <w:r w:rsidR="001F5A65">
        <w:rPr>
          <w:lang w:val="pl-PL"/>
        </w:rPr>
        <w:t> </w:t>
      </w:r>
      <w:r w:rsidRPr="00977945">
        <w:rPr>
          <w:lang w:val="pl-PL"/>
        </w:rPr>
        <w:t xml:space="preserve">zastosowania w takiej sytuacji (zob. w tym względzie </w:t>
      </w:r>
      <w:r w:rsidRPr="00977945">
        <w:rPr>
          <w:i/>
          <w:iCs/>
          <w:lang w:val="pl-PL"/>
        </w:rPr>
        <w:t>Marguš</w:t>
      </w:r>
      <w:r w:rsidRPr="00977945">
        <w:rPr>
          <w:lang w:val="pl-PL"/>
        </w:rPr>
        <w:t xml:space="preserve">, </w:t>
      </w:r>
      <w:r w:rsidRPr="00977945">
        <w:rPr>
          <w:i/>
          <w:iCs/>
          <w:lang w:val="pl-PL"/>
        </w:rPr>
        <w:t>op.</w:t>
      </w:r>
      <w:r w:rsidR="001F5A65">
        <w:rPr>
          <w:i/>
          <w:iCs/>
          <w:lang w:val="pl-PL"/>
        </w:rPr>
        <w:t> </w:t>
      </w:r>
      <w:r w:rsidRPr="00977945">
        <w:rPr>
          <w:i/>
          <w:iCs/>
          <w:lang w:val="pl-PL"/>
        </w:rPr>
        <w:t>cit.</w:t>
      </w:r>
      <w:r w:rsidRPr="00977945">
        <w:rPr>
          <w:lang w:val="pl-PL"/>
        </w:rPr>
        <w:t>, §</w:t>
      </w:r>
      <w:r w:rsidR="000F46C5">
        <w:rPr>
          <w:lang w:val="pl-PL"/>
        </w:rPr>
        <w:t xml:space="preserve"> </w:t>
      </w:r>
      <w:r w:rsidRPr="00977945">
        <w:rPr>
          <w:lang w:val="pl-PL"/>
        </w:rPr>
        <w:t xml:space="preserve">120, oraz </w:t>
      </w:r>
      <w:r w:rsidRPr="00977945">
        <w:rPr>
          <w:i/>
          <w:iCs/>
          <w:lang w:val="pl-PL"/>
        </w:rPr>
        <w:t xml:space="preserve">Smirnova i Smirnova </w:t>
      </w:r>
      <w:r w:rsidRPr="00977945">
        <w:rPr>
          <w:lang w:val="pl-PL"/>
        </w:rPr>
        <w:t xml:space="preserve">i </w:t>
      </w:r>
      <w:r w:rsidRPr="00977945">
        <w:rPr>
          <w:i/>
          <w:iCs/>
          <w:lang w:val="pl-PL"/>
        </w:rPr>
        <w:t>Harutyunyan</w:t>
      </w:r>
      <w:r w:rsidRPr="00977945">
        <w:rPr>
          <w:lang w:val="pl-PL"/>
        </w:rPr>
        <w:t xml:space="preserve">, oba cytowane powyżej). W sprawie </w:t>
      </w:r>
      <w:r w:rsidRPr="00977945">
        <w:rPr>
          <w:i/>
          <w:iCs/>
          <w:lang w:val="pl-PL"/>
        </w:rPr>
        <w:t>Horciag</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Trybunał stwierdził, że „decyzja potwierdzająca tymczasową detencję psychiatryczną nie może być traktowana jako wyrok uniewinniający w rozumieniu art. 4 Protokołu nr 7, lecz dotyczy środka zapobiegawczego niepociągającego za sobą żadnego badania ani stwierdzenia winy skarżącego (zob. odpowiednio, </w:t>
      </w:r>
      <w:r w:rsidRPr="00977945">
        <w:rPr>
          <w:i/>
          <w:iCs/>
          <w:lang w:val="pl-PL"/>
        </w:rPr>
        <w:t xml:space="preserve">Escoubet przeciwko Belgii </w:t>
      </w:r>
      <w:r w:rsidRPr="00977945">
        <w:rPr>
          <w:lang w:val="pl-PL"/>
        </w:rPr>
        <w:t>(</w:t>
      </w:r>
      <w:r w:rsidRPr="00977945">
        <w:rPr>
          <w:i/>
          <w:iCs/>
          <w:lang w:val="pl-PL"/>
        </w:rPr>
        <w:t>op.</w:t>
      </w:r>
      <w:r>
        <w:rPr>
          <w:i/>
          <w:iCs/>
          <w:lang w:val="pl-PL"/>
        </w:rPr>
        <w:t xml:space="preserve"> </w:t>
      </w:r>
      <w:r w:rsidRPr="00977945">
        <w:rPr>
          <w:i/>
          <w:iCs/>
          <w:lang w:val="pl-PL"/>
        </w:rPr>
        <w:t>cit.</w:t>
      </w:r>
      <w:r w:rsidRPr="00977945">
        <w:rPr>
          <w:lang w:val="pl-PL"/>
        </w:rPr>
        <w:t xml:space="preserve">) oraz </w:t>
      </w:r>
      <w:r w:rsidRPr="00977945">
        <w:rPr>
          <w:i/>
          <w:iCs/>
          <w:lang w:val="pl-PL"/>
        </w:rPr>
        <w:t xml:space="preserve">Mulot przeciwko Francji </w:t>
      </w:r>
      <w:r w:rsidRPr="00977945">
        <w:rPr>
          <w:lang w:val="pl-PL"/>
        </w:rPr>
        <w:t>(dec.), nr</w:t>
      </w:r>
      <w:r w:rsidR="000F46C5">
        <w:rPr>
          <w:lang w:val="pl-PL"/>
        </w:rPr>
        <w:t xml:space="preserve"> </w:t>
      </w:r>
      <w:r w:rsidRPr="00977945">
        <w:rPr>
          <w:lang w:val="pl-PL"/>
        </w:rPr>
        <w:t>37211/97, 14 grudnia 1999 r.)".</w:t>
      </w:r>
    </w:p>
    <w:p w14:paraId="3884FBB2" w14:textId="36C84E48" w:rsidR="009E53C0" w:rsidRPr="00977945" w:rsidRDefault="009E53C0" w:rsidP="000D30FE">
      <w:pPr>
        <w:pStyle w:val="ECHRPara"/>
        <w:rPr>
          <w:rFonts w:eastAsia="Times New Roman"/>
          <w:lang w:val="pl-PL"/>
        </w:rPr>
      </w:pPr>
      <w:r w:rsidRPr="00977945">
        <w:rPr>
          <w:lang w:val="pl-PL"/>
        </w:rPr>
        <w:lastRenderedPageBreak/>
        <w:t>97.</w:t>
      </w:r>
      <w:r>
        <w:rPr>
          <w:lang w:val="pl-PL"/>
        </w:rPr>
        <w:t xml:space="preserve"> </w:t>
      </w:r>
      <w:r w:rsidRPr="00977945">
        <w:rPr>
          <w:lang w:val="pl-PL"/>
        </w:rPr>
        <w:t>W celu ustalenia, czy dane orzeczenie stanowi „uniewinnienie” czy</w:t>
      </w:r>
      <w:r w:rsidR="001F5A65">
        <w:rPr>
          <w:lang w:val="pl-PL"/>
        </w:rPr>
        <w:t> </w:t>
      </w:r>
      <w:r w:rsidRPr="00977945">
        <w:rPr>
          <w:lang w:val="pl-PL"/>
        </w:rPr>
        <w:t xml:space="preserve">„skazanie”, Trybunał </w:t>
      </w:r>
      <w:r w:rsidR="00746F54">
        <w:rPr>
          <w:lang w:val="pl-PL"/>
        </w:rPr>
        <w:t xml:space="preserve">brał </w:t>
      </w:r>
      <w:r w:rsidRPr="00977945">
        <w:rPr>
          <w:lang w:val="pl-PL"/>
        </w:rPr>
        <w:t>zatem pod uwagę rzeczywistą treść spornego orzeczenia i oceni</w:t>
      </w:r>
      <w:r w:rsidR="00746F54">
        <w:rPr>
          <w:lang w:val="pl-PL"/>
        </w:rPr>
        <w:t>a</w:t>
      </w:r>
      <w:r w:rsidRPr="00977945">
        <w:rPr>
          <w:lang w:val="pl-PL"/>
        </w:rPr>
        <w:t>ł jego wpływ na sytuację skarżącego. Odnosząc się do</w:t>
      </w:r>
      <w:r w:rsidR="001F5A65">
        <w:rPr>
          <w:lang w:val="pl-PL"/>
        </w:rPr>
        <w:t> </w:t>
      </w:r>
      <w:r w:rsidRPr="00977945">
        <w:rPr>
          <w:lang w:val="pl-PL"/>
        </w:rPr>
        <w:t xml:space="preserve">treści art. 4 Protokołu nr 7, Trybunał uważa, że celowy wybór słów – </w:t>
      </w:r>
      <w:r w:rsidRPr="00ED6A49">
        <w:rPr>
          <w:lang w:val="pl-PL"/>
        </w:rPr>
        <w:t>„skazany [...] lub uniewinniony”</w:t>
      </w:r>
      <w:r w:rsidRPr="00977945">
        <w:rPr>
          <w:lang w:val="pl-PL"/>
        </w:rPr>
        <w:t xml:space="preserve"> – oznacza, że odpowiedzialność „karna” oskarżonego została ustalona w wyniku oceny okoliczności sprawy, innymi słowy, że dokonano ustalenia co do istoty sprawy. Aby taka ocena mogła zostać przeprowadzona, konieczne jest, aby organ wydający decyzję posiadał na mocy prawa krajowego uprawnienia decyzyjne pozwalające mu na</w:t>
      </w:r>
      <w:r w:rsidR="001F5A65">
        <w:rPr>
          <w:lang w:val="pl-PL"/>
        </w:rPr>
        <w:t> </w:t>
      </w:r>
      <w:r w:rsidRPr="00977945">
        <w:rPr>
          <w:lang w:val="pl-PL"/>
        </w:rPr>
        <w:t xml:space="preserve">zbadanie istoty sprawy. Organ ten musi następnie zbadać lub ocenić dowody zawarte w aktach sprawy i ocenić udział </w:t>
      </w:r>
      <w:r w:rsidR="00746F54">
        <w:rPr>
          <w:lang w:val="pl-PL"/>
        </w:rPr>
        <w:t>skarżącego</w:t>
      </w:r>
      <w:r w:rsidRPr="00977945">
        <w:rPr>
          <w:lang w:val="pl-PL"/>
        </w:rPr>
        <w:t xml:space="preserve"> w jednym lub</w:t>
      </w:r>
      <w:r w:rsidR="001F5A65">
        <w:rPr>
          <w:lang w:val="pl-PL"/>
        </w:rPr>
        <w:t> </w:t>
      </w:r>
      <w:r w:rsidRPr="00977945">
        <w:rPr>
          <w:lang w:val="pl-PL"/>
        </w:rPr>
        <w:t xml:space="preserve">wszystkich zdarzeniach, które spowodowały interwencję organów dochodzeniowych, w celu określenia, czy ustalono odpowiedzialność „karną” (zob. odpowiednio, </w:t>
      </w:r>
      <w:r w:rsidRPr="00977945">
        <w:rPr>
          <w:i/>
          <w:iCs/>
          <w:lang w:val="pl-PL"/>
        </w:rPr>
        <w:t>Allen przeciwko Zjednoczonemu Królestwu</w:t>
      </w:r>
      <w:r w:rsidRPr="00977945">
        <w:rPr>
          <w:lang w:val="pl-PL"/>
        </w:rPr>
        <w:t xml:space="preserve"> [WI]</w:t>
      </w:r>
      <w:r w:rsidRPr="00977945">
        <w:rPr>
          <w:snapToGrid w:val="0"/>
          <w:lang w:val="pl-PL"/>
        </w:rPr>
        <w:t>, nr</w:t>
      </w:r>
      <w:r w:rsidR="000F46C5">
        <w:rPr>
          <w:snapToGrid w:val="0"/>
          <w:lang w:val="pl-PL"/>
        </w:rPr>
        <w:t xml:space="preserve"> </w:t>
      </w:r>
      <w:r w:rsidRPr="00977945">
        <w:rPr>
          <w:snapToGrid w:val="0"/>
          <w:lang w:val="pl-PL"/>
        </w:rPr>
        <w:t xml:space="preserve">25424/09, § 127, </w:t>
      </w:r>
      <w:r w:rsidR="000F46C5">
        <w:rPr>
          <w:snapToGrid w:val="0"/>
          <w:lang w:val="pl-PL"/>
        </w:rPr>
        <w:t>ETPC</w:t>
      </w:r>
      <w:r w:rsidRPr="00977945">
        <w:rPr>
          <w:lang w:val="pl-PL"/>
        </w:rPr>
        <w:t xml:space="preserve"> 2013, sprawa dotycząca zakresu domniemania niewinności na podstawie art. 6 ust. 2 Konwencji, w której treść, a nie forma orzeczenia, była dla Trybunału czynnikiem decydującym).</w:t>
      </w:r>
    </w:p>
    <w:p w14:paraId="60B8A338" w14:textId="032D3D4A" w:rsidR="009E53C0" w:rsidRPr="00977945" w:rsidRDefault="009E53C0" w:rsidP="000D30FE">
      <w:pPr>
        <w:pStyle w:val="ECHRPara"/>
        <w:rPr>
          <w:rFonts w:eastAsia="Times New Roman"/>
          <w:lang w:val="pl-PL"/>
        </w:rPr>
      </w:pPr>
      <w:r w:rsidRPr="00977945">
        <w:rPr>
          <w:rFonts w:eastAsia="Times New Roman"/>
          <w:lang w:val="pl-PL"/>
        </w:rPr>
        <w:t>98.</w:t>
      </w:r>
      <w:r>
        <w:rPr>
          <w:rFonts w:eastAsia="Times New Roman"/>
          <w:lang w:val="pl-PL"/>
        </w:rPr>
        <w:t xml:space="preserve"> </w:t>
      </w:r>
      <w:r w:rsidRPr="00977945">
        <w:rPr>
          <w:rFonts w:eastAsia="Times New Roman"/>
          <w:lang w:val="pl-PL"/>
        </w:rPr>
        <w:t>Zatem za stwierdzeniem, że doszło do oceny okoliczności sprawy oraz winy lub niewinności oskarżonego</w:t>
      </w:r>
      <w:r w:rsidR="00746F54">
        <w:rPr>
          <w:rFonts w:eastAsia="Times New Roman"/>
          <w:lang w:val="pl-PL"/>
        </w:rPr>
        <w:t>,</w:t>
      </w:r>
      <w:r w:rsidRPr="00977945">
        <w:rPr>
          <w:rFonts w:eastAsia="Times New Roman"/>
          <w:lang w:val="pl-PL"/>
        </w:rPr>
        <w:t xml:space="preserve"> może przemawiać przebieg postępowania w danej sprawie. Jeżeli dochodzenie karne zostało wszczęte po</w:t>
      </w:r>
      <w:r w:rsidR="001F5A65">
        <w:rPr>
          <w:rFonts w:eastAsia="Times New Roman"/>
          <w:lang w:val="pl-PL"/>
        </w:rPr>
        <w:t> </w:t>
      </w:r>
      <w:r w:rsidRPr="00977945">
        <w:rPr>
          <w:rFonts w:eastAsia="Times New Roman"/>
          <w:lang w:val="pl-PL"/>
        </w:rPr>
        <w:t>wniesieniu oskarżenia przeciwko danej osobie, ofiara została przesłuchana, dowody zostały zebrane i zbadane przez właściwy organ, a</w:t>
      </w:r>
      <w:r w:rsidR="001F5A65">
        <w:rPr>
          <w:rFonts w:eastAsia="Times New Roman"/>
          <w:lang w:val="pl-PL"/>
        </w:rPr>
        <w:t> </w:t>
      </w:r>
      <w:r w:rsidRPr="00977945">
        <w:rPr>
          <w:rFonts w:eastAsia="Times New Roman"/>
          <w:lang w:val="pl-PL"/>
        </w:rPr>
        <w:t>na</w:t>
      </w:r>
      <w:r w:rsidR="001F5A65">
        <w:rPr>
          <w:rFonts w:eastAsia="Times New Roman"/>
          <w:lang w:val="pl-PL"/>
        </w:rPr>
        <w:t> </w:t>
      </w:r>
      <w:r w:rsidRPr="00977945">
        <w:rPr>
          <w:rFonts w:eastAsia="Times New Roman"/>
          <w:lang w:val="pl-PL"/>
        </w:rPr>
        <w:t>podstawie tych dowodów wydano uzasadnioną decyzję, czynniki te</w:t>
      </w:r>
      <w:r w:rsidR="001F5A65">
        <w:rPr>
          <w:rFonts w:eastAsia="Times New Roman"/>
          <w:lang w:val="pl-PL"/>
        </w:rPr>
        <w:t> </w:t>
      </w:r>
      <w:r w:rsidRPr="00977945">
        <w:rPr>
          <w:rFonts w:eastAsia="Times New Roman"/>
          <w:lang w:val="pl-PL"/>
        </w:rPr>
        <w:t xml:space="preserve">mogą prowadzić do stwierdzenia, że dokonano </w:t>
      </w:r>
      <w:r w:rsidR="00427D97">
        <w:rPr>
          <w:rFonts w:eastAsia="Times New Roman"/>
          <w:lang w:val="pl-PL"/>
        </w:rPr>
        <w:t>rozstrzygnięcia</w:t>
      </w:r>
      <w:r w:rsidRPr="00977945">
        <w:rPr>
          <w:rFonts w:eastAsia="Times New Roman"/>
          <w:lang w:val="pl-PL"/>
        </w:rPr>
        <w:t xml:space="preserve"> co do istoty sprawy. Jeżeli właściwy organ nałożył karę w wyniku zachowania przypisywanego danej osobie, można zasadnie uznać, że właściwy organ dokonał uprzedniej oceny okoliczności sprawy oraz tego, czy zachowanie danej osoby było zgodne z</w:t>
      </w:r>
      <w:r w:rsidR="000F46C5">
        <w:rPr>
          <w:rFonts w:eastAsia="Times New Roman"/>
          <w:lang w:val="pl-PL"/>
        </w:rPr>
        <w:t xml:space="preserve"> </w:t>
      </w:r>
      <w:r w:rsidRPr="00977945">
        <w:rPr>
          <w:rFonts w:eastAsia="Times New Roman"/>
          <w:lang w:val="pl-PL"/>
        </w:rPr>
        <w:t>prawem.</w:t>
      </w:r>
    </w:p>
    <w:p w14:paraId="265A8718" w14:textId="77777777" w:rsidR="009E53C0" w:rsidRPr="00977945" w:rsidRDefault="009E53C0" w:rsidP="000D30FE">
      <w:pPr>
        <w:pStyle w:val="ECHRHeading7"/>
        <w:rPr>
          <w:rFonts w:eastAsia="Times New Roman"/>
          <w:lang w:val="pl-PL"/>
        </w:rPr>
      </w:pPr>
      <w:r w:rsidRPr="00977945">
        <w:rPr>
          <w:rFonts w:eastAsia="Times New Roman"/>
          <w:lang w:val="pl-PL"/>
        </w:rPr>
        <w:t>–</w:t>
      </w:r>
      <w:r>
        <w:rPr>
          <w:rFonts w:eastAsia="Times New Roman"/>
          <w:lang w:val="pl-PL"/>
        </w:rPr>
        <w:t xml:space="preserve"> </w:t>
      </w:r>
      <w:r w:rsidRPr="00977945">
        <w:rPr>
          <w:rFonts w:eastAsia="Times New Roman"/>
          <w:lang w:val="pl-PL"/>
        </w:rPr>
        <w:t>Rozważania właściwe niniejszej sprawie</w:t>
      </w:r>
    </w:p>
    <w:p w14:paraId="79FD5ED5" w14:textId="631D9886" w:rsidR="009E53C0" w:rsidRPr="00977945" w:rsidRDefault="009E53C0" w:rsidP="000D30FE">
      <w:pPr>
        <w:pStyle w:val="ECHRPara"/>
        <w:rPr>
          <w:rFonts w:eastAsia="Times New Roman"/>
          <w:lang w:val="pl-PL"/>
        </w:rPr>
      </w:pPr>
      <w:r w:rsidRPr="00977945">
        <w:rPr>
          <w:lang w:val="pl-PL"/>
        </w:rPr>
        <w:t>99.</w:t>
      </w:r>
      <w:r>
        <w:rPr>
          <w:lang w:val="pl-PL"/>
        </w:rPr>
        <w:t xml:space="preserve"> </w:t>
      </w:r>
      <w:r w:rsidRPr="00977945">
        <w:rPr>
          <w:lang w:val="pl-PL"/>
        </w:rPr>
        <w:t>W odniesieniu do okoliczności niniejszej sprawy Trybunał zauważa przede wszystkim, że postanowieniem z dnia 7 sierpnia 2008 r. prokuratura przy Sądzie Rejonowym w Fokszanach umorzyła postępowanie karne przeciwko skarżącemu, nakładając jednocześnie na niego karę administracyjną za popełnione przez niego czyny. Nie było to zatem zwykłe postanowienie o umorzeniu postępowania, w którym to przypadku art. 4 Protokołu nr 7 do Konwencji bez wątpienia nie miałby zastosowania (zob. w</w:t>
      </w:r>
      <w:r w:rsidR="001F5A65">
        <w:rPr>
          <w:lang w:val="pl-PL"/>
        </w:rPr>
        <w:t> </w:t>
      </w:r>
      <w:r w:rsidRPr="00977945">
        <w:rPr>
          <w:lang w:val="pl-PL"/>
        </w:rPr>
        <w:t>tym względzie</w:t>
      </w:r>
      <w:r w:rsidRPr="00977945">
        <w:rPr>
          <w:i/>
          <w:iCs/>
          <w:lang w:val="pl-PL"/>
        </w:rPr>
        <w:t xml:space="preserve"> Marguš</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 xml:space="preserve">120, oraz </w:t>
      </w:r>
      <w:r w:rsidRPr="00977945">
        <w:rPr>
          <w:i/>
          <w:iCs/>
          <w:lang w:val="pl-PL"/>
        </w:rPr>
        <w:t xml:space="preserve">Smirnova i Smirnova </w:t>
      </w:r>
      <w:r w:rsidRPr="00977945">
        <w:rPr>
          <w:lang w:val="pl-PL"/>
        </w:rPr>
        <w:t>i</w:t>
      </w:r>
      <w:r w:rsidR="001F5A65">
        <w:rPr>
          <w:lang w:val="pl-PL"/>
        </w:rPr>
        <w:t> </w:t>
      </w:r>
      <w:r w:rsidRPr="00977945">
        <w:rPr>
          <w:i/>
          <w:iCs/>
          <w:lang w:val="pl-PL"/>
        </w:rPr>
        <w:t>Harutyunyan</w:t>
      </w:r>
      <w:r w:rsidRPr="00977945">
        <w:rPr>
          <w:lang w:val="pl-PL"/>
        </w:rPr>
        <w:t>,</w:t>
      </w:r>
      <w:r w:rsidRPr="00977945">
        <w:rPr>
          <w:i/>
          <w:iCs/>
          <w:lang w:val="pl-PL"/>
        </w:rPr>
        <w:t xml:space="preserve"> </w:t>
      </w:r>
      <w:r w:rsidRPr="00977945">
        <w:rPr>
          <w:lang w:val="pl-PL"/>
        </w:rPr>
        <w:t>oba cytowane powyżej).</w:t>
      </w:r>
    </w:p>
    <w:p w14:paraId="082C1DA6" w14:textId="78E0B251" w:rsidR="009E53C0" w:rsidRPr="00977945" w:rsidRDefault="009E53C0" w:rsidP="000D30FE">
      <w:pPr>
        <w:pStyle w:val="ECHRPara"/>
        <w:rPr>
          <w:rFonts w:eastAsia="Times New Roman"/>
          <w:lang w:val="pl-PL"/>
        </w:rPr>
      </w:pPr>
      <w:bookmarkStart w:id="70" w:name="P48"/>
      <w:r w:rsidRPr="00977945">
        <w:rPr>
          <w:rFonts w:eastAsia="Times New Roman"/>
          <w:lang w:val="pl-PL"/>
        </w:rPr>
        <w:t>100</w:t>
      </w:r>
      <w:bookmarkEnd w:id="70"/>
      <w:r w:rsidRPr="00977945">
        <w:rPr>
          <w:rFonts w:eastAsia="Times New Roman"/>
          <w:lang w:val="pl-PL"/>
        </w:rPr>
        <w:t>.</w:t>
      </w:r>
      <w:r>
        <w:rPr>
          <w:rFonts w:eastAsia="Times New Roman"/>
          <w:lang w:val="pl-PL"/>
        </w:rPr>
        <w:t xml:space="preserve"> </w:t>
      </w:r>
      <w:r w:rsidRPr="00977945">
        <w:rPr>
          <w:rFonts w:eastAsia="Times New Roman"/>
          <w:lang w:val="pl-PL"/>
        </w:rPr>
        <w:t>W t</w:t>
      </w:r>
      <w:r w:rsidR="004B2791">
        <w:rPr>
          <w:rFonts w:eastAsia="Times New Roman"/>
          <w:lang w:val="pl-PL"/>
        </w:rPr>
        <w:t>ej sprawie</w:t>
      </w:r>
      <w:r w:rsidRPr="00977945">
        <w:rPr>
          <w:rFonts w:eastAsia="Times New Roman"/>
          <w:lang w:val="pl-PL"/>
        </w:rPr>
        <w:t>, zgodnie z prawem krajowym, prokuratura została wezwana do udziału w wymierzaniu sprawiedliwości w sprawach karnych. Prokurator był właściwy do przeprowadzenia śledztwa w sprawie zarzucanych skarżącemu czynów, przesłuchując w tym celu świadka i</w:t>
      </w:r>
      <w:r w:rsidR="001F5A65">
        <w:rPr>
          <w:rFonts w:eastAsia="Times New Roman"/>
          <w:lang w:val="pl-PL"/>
        </w:rPr>
        <w:t> </w:t>
      </w:r>
      <w:r w:rsidRPr="00977945">
        <w:rPr>
          <w:rFonts w:eastAsia="Times New Roman"/>
          <w:lang w:val="pl-PL"/>
        </w:rPr>
        <w:t xml:space="preserve">podejrzanego. Następnie zastosował odpowiednie przepisy materialne </w:t>
      </w:r>
      <w:r w:rsidRPr="00977945">
        <w:rPr>
          <w:rFonts w:eastAsia="Times New Roman"/>
          <w:lang w:val="pl-PL"/>
        </w:rPr>
        <w:lastRenderedPageBreak/>
        <w:t>ustanowione w prawie krajowym; musiał ocenić, czy spełnione zostały wymogi pozwalające na zakwalifikowanie zarzucanych skarżącemu czynów jako przestępstwa. Na podstawie przeprowadzonych dowodów prokurator dokonał własnej oceny wszystkich okoliczności sprawy, odnoszących się zarówno do osoby skarżącego, jak i do konkretnego stanu faktycznego. Po</w:t>
      </w:r>
      <w:r w:rsidR="001F5A65">
        <w:rPr>
          <w:rFonts w:eastAsia="Times New Roman"/>
          <w:lang w:val="pl-PL"/>
        </w:rPr>
        <w:t> </w:t>
      </w:r>
      <w:r w:rsidRPr="00977945">
        <w:rPr>
          <w:rFonts w:eastAsia="Times New Roman"/>
          <w:lang w:val="pl-PL"/>
        </w:rPr>
        <w:t>przeprowadzeniu tej oceny, ponownie zgodnie z uprawnieniami przyznanymi mu na mocy prawa krajowego, prokurator podjął decyzję o</w:t>
      </w:r>
      <w:r w:rsidR="001F5A65">
        <w:rPr>
          <w:rFonts w:eastAsia="Times New Roman"/>
          <w:lang w:val="pl-PL"/>
        </w:rPr>
        <w:t> </w:t>
      </w:r>
      <w:r w:rsidRPr="00977945">
        <w:rPr>
          <w:rFonts w:eastAsia="Times New Roman"/>
          <w:lang w:val="pl-PL"/>
        </w:rPr>
        <w:t>umorzeniu postępowania, nakładając jednocześnie na skarżącego karę, która miała cel represyjny i odstraszający (zob. paragrafy od 11 do 15 powyżej). Nałożona kara stała się wykonalna z chwilą upływu terminu do</w:t>
      </w:r>
      <w:r w:rsidR="001F5A65">
        <w:rPr>
          <w:rFonts w:eastAsia="Times New Roman"/>
          <w:lang w:val="pl-PL"/>
        </w:rPr>
        <w:t> </w:t>
      </w:r>
      <w:r w:rsidRPr="00977945">
        <w:rPr>
          <w:rFonts w:eastAsia="Times New Roman"/>
          <w:lang w:val="pl-PL"/>
        </w:rPr>
        <w:t>wniesienia przez skarżącego odwołania zgodnie z prawem krajowym.</w:t>
      </w:r>
    </w:p>
    <w:p w14:paraId="1F7A1DFB" w14:textId="7EA02A11" w:rsidR="009E53C0" w:rsidRPr="00977945" w:rsidRDefault="009E53C0" w:rsidP="000D30FE">
      <w:pPr>
        <w:pStyle w:val="ECHRPara"/>
        <w:rPr>
          <w:rFonts w:eastAsia="Times New Roman"/>
          <w:lang w:val="pl-PL"/>
        </w:rPr>
      </w:pPr>
      <w:bookmarkStart w:id="71" w:name="P49"/>
      <w:bookmarkStart w:id="72" w:name="File49"/>
      <w:r w:rsidRPr="00977945">
        <w:rPr>
          <w:rFonts w:eastAsia="Times New Roman"/>
          <w:lang w:val="pl-PL"/>
        </w:rPr>
        <w:t>101</w:t>
      </w:r>
      <w:bookmarkEnd w:id="71"/>
      <w:bookmarkEnd w:id="72"/>
      <w:r w:rsidRPr="00977945">
        <w:rPr>
          <w:rFonts w:eastAsia="Times New Roman"/>
          <w:lang w:val="pl-PL"/>
        </w:rPr>
        <w:t>.</w:t>
      </w:r>
      <w:r>
        <w:rPr>
          <w:rFonts w:eastAsia="Times New Roman"/>
          <w:lang w:val="pl-PL"/>
        </w:rPr>
        <w:t xml:space="preserve"> </w:t>
      </w:r>
      <w:r w:rsidRPr="00977945">
        <w:rPr>
          <w:rFonts w:eastAsia="Times New Roman"/>
          <w:lang w:val="pl-PL"/>
        </w:rPr>
        <w:t>Uwzględniając śledztwo prowadzone przez prokuratora oraz przyznane mu na mocy prawa krajowego uprawnienia do rozstrzygania sprawy przed nim zawisłej, Trybunał uzna</w:t>
      </w:r>
      <w:r w:rsidR="00427D97">
        <w:rPr>
          <w:rFonts w:eastAsia="Times New Roman"/>
          <w:lang w:val="pl-PL"/>
        </w:rPr>
        <w:t>je</w:t>
      </w:r>
      <w:r w:rsidRPr="00977945">
        <w:rPr>
          <w:rFonts w:eastAsia="Times New Roman"/>
          <w:lang w:val="pl-PL"/>
        </w:rPr>
        <w:t>, że w niniejszej sprawie ocena prokuratora dotyczyła zarówno okoliczności, jak i ustalenia odpowiedzialności „karnej” skarżącego. Uwzględniając również fakt, że</w:t>
      </w:r>
      <w:r w:rsidR="001F5A65">
        <w:rPr>
          <w:rFonts w:eastAsia="Times New Roman"/>
          <w:lang w:val="pl-PL"/>
        </w:rPr>
        <w:t> </w:t>
      </w:r>
      <w:r w:rsidRPr="00977945">
        <w:rPr>
          <w:rFonts w:eastAsia="Times New Roman"/>
          <w:lang w:val="pl-PL"/>
        </w:rPr>
        <w:t>na</w:t>
      </w:r>
      <w:r w:rsidR="001F5A65">
        <w:rPr>
          <w:rFonts w:eastAsia="Times New Roman"/>
          <w:lang w:val="pl-PL"/>
        </w:rPr>
        <w:t> </w:t>
      </w:r>
      <w:r w:rsidRPr="00977945">
        <w:rPr>
          <w:rFonts w:eastAsia="Times New Roman"/>
          <w:lang w:val="pl-PL"/>
        </w:rPr>
        <w:t>skarżącego została nałożona kara o charakterze odstraszającym i</w:t>
      </w:r>
      <w:r w:rsidR="001F5A65">
        <w:rPr>
          <w:rFonts w:eastAsia="Times New Roman"/>
          <w:lang w:val="pl-PL"/>
        </w:rPr>
        <w:t> </w:t>
      </w:r>
      <w:r w:rsidRPr="00977945">
        <w:rPr>
          <w:rFonts w:eastAsia="Times New Roman"/>
          <w:lang w:val="pl-PL"/>
        </w:rPr>
        <w:t>represyjnym, postanowienie z dnia 7 sierpnia 2008 r. pociągnęło za sobą jego „skazanie” w materialnym znaczeniu tego terminu. Biorąc pod uwagę skutki, jakie skazanie to miało dla sytuacji skarżącego, fakt, że żaden sąd nie</w:t>
      </w:r>
      <w:r w:rsidR="001F5A65">
        <w:rPr>
          <w:rFonts w:eastAsia="Times New Roman"/>
          <w:lang w:val="pl-PL"/>
        </w:rPr>
        <w:t> </w:t>
      </w:r>
      <w:r w:rsidRPr="00977945">
        <w:rPr>
          <w:rFonts w:eastAsia="Times New Roman"/>
          <w:lang w:val="pl-PL"/>
        </w:rPr>
        <w:t>interweniował w jego sprawie, nie może zmienić tego wniosku.</w:t>
      </w:r>
    </w:p>
    <w:p w14:paraId="2ADCF443" w14:textId="77777777" w:rsidR="009E53C0" w:rsidRPr="00977945" w:rsidRDefault="009E53C0" w:rsidP="000D30FE">
      <w:pPr>
        <w:pStyle w:val="ECHRHeading6"/>
        <w:rPr>
          <w:lang w:val="pl-PL"/>
        </w:rPr>
      </w:pPr>
      <w:r w:rsidRPr="00977945">
        <w:rPr>
          <w:lang w:val="pl-PL"/>
        </w:rPr>
        <w:t>(β)</w:t>
      </w:r>
      <w:r>
        <w:rPr>
          <w:lang w:val="pl-PL"/>
        </w:rPr>
        <w:t xml:space="preserve"> </w:t>
      </w:r>
      <w:r w:rsidRPr="00977945">
        <w:rPr>
          <w:lang w:val="pl-PL"/>
        </w:rPr>
        <w:t>W odniesieniu do „prawomocnego” charakteru postanowienia prokuratora z dnia 7 sierpnia 2008 r. pociągającego za sobą „wyrok skazujący” skarżącego</w:t>
      </w:r>
    </w:p>
    <w:p w14:paraId="79936C27" w14:textId="77777777" w:rsidR="009E53C0" w:rsidRPr="00977945" w:rsidRDefault="009E53C0" w:rsidP="000D30FE">
      <w:pPr>
        <w:pStyle w:val="ECHRHeading7"/>
        <w:rPr>
          <w:lang w:val="pl-PL"/>
        </w:rPr>
      </w:pPr>
      <w:r w:rsidRPr="00977945">
        <w:rPr>
          <w:lang w:val="pl-PL"/>
        </w:rPr>
        <w:t>– Podejście Trybunału w porównywalnych wcześniejszych sprawach i jego uzasadnienie w niniejszej sprawie</w:t>
      </w:r>
    </w:p>
    <w:p w14:paraId="27A90EC1" w14:textId="58AB487E" w:rsidR="009E53C0" w:rsidRPr="00977945" w:rsidRDefault="009E53C0" w:rsidP="000D30FE">
      <w:pPr>
        <w:pStyle w:val="ECHRPara"/>
        <w:rPr>
          <w:rFonts w:eastAsia="Times New Roman"/>
          <w:lang w:val="pl-PL"/>
        </w:rPr>
      </w:pPr>
      <w:r w:rsidRPr="00977945">
        <w:rPr>
          <w:rFonts w:eastAsia="Times New Roman"/>
          <w:lang w:val="pl-PL"/>
        </w:rPr>
        <w:t>102.</w:t>
      </w:r>
      <w:r>
        <w:rPr>
          <w:rFonts w:eastAsia="Times New Roman"/>
          <w:lang w:val="pl-PL"/>
        </w:rPr>
        <w:t xml:space="preserve"> </w:t>
      </w:r>
      <w:r w:rsidRPr="00977945">
        <w:rPr>
          <w:rFonts w:eastAsia="Times New Roman"/>
          <w:lang w:val="pl-PL"/>
        </w:rPr>
        <w:t xml:space="preserve">Trybunał zauważa, że zgodnie z treścią art. 4 Protokołu nr 7, aby móc skorzystać z zasady </w:t>
      </w:r>
      <w:r w:rsidRPr="00977945">
        <w:rPr>
          <w:rFonts w:eastAsia="Times New Roman"/>
          <w:i/>
          <w:iCs/>
          <w:lang w:val="pl-PL"/>
        </w:rPr>
        <w:t>ne bis in idem</w:t>
      </w:r>
      <w:r w:rsidRPr="00977945">
        <w:rPr>
          <w:rFonts w:eastAsia="Times New Roman"/>
          <w:lang w:val="pl-PL"/>
        </w:rPr>
        <w:t>, dana osoba musi być „uprzednio skazan[a] prawomocnym wyrokiem lub uniewinnion[a] zgodnie z ustawą i</w:t>
      </w:r>
      <w:r w:rsidR="000F46C5">
        <w:rPr>
          <w:rFonts w:eastAsia="Times New Roman"/>
          <w:lang w:val="pl-PL"/>
        </w:rPr>
        <w:t xml:space="preserve"> </w:t>
      </w:r>
      <w:r w:rsidRPr="00977945">
        <w:rPr>
          <w:rFonts w:eastAsia="Times New Roman"/>
          <w:lang w:val="pl-PL"/>
        </w:rPr>
        <w:t xml:space="preserve">zasadami postępowania karnego tego </w:t>
      </w:r>
      <w:r>
        <w:rPr>
          <w:rFonts w:eastAsia="Times New Roman"/>
          <w:lang w:val="pl-PL"/>
        </w:rPr>
        <w:t>p</w:t>
      </w:r>
      <w:r w:rsidRPr="00977945">
        <w:rPr>
          <w:rFonts w:eastAsia="Times New Roman"/>
          <w:lang w:val="pl-PL"/>
        </w:rPr>
        <w:t>aństwa”. Artykuł ten zawiera zatem wyraźne odniesienie do prawa państwa, które wydało przedmiotowe orzeczenie.</w:t>
      </w:r>
    </w:p>
    <w:p w14:paraId="1BA7BBE3" w14:textId="12765388" w:rsidR="009E53C0" w:rsidRPr="00977945" w:rsidRDefault="009E53C0" w:rsidP="000D30FE">
      <w:pPr>
        <w:pStyle w:val="ECHRPara"/>
        <w:rPr>
          <w:rFonts w:eastAsia="Times New Roman"/>
          <w:lang w:val="pl-PL"/>
        </w:rPr>
      </w:pPr>
      <w:bookmarkStart w:id="73" w:name="P114"/>
      <w:bookmarkStart w:id="74" w:name="P117"/>
      <w:r w:rsidRPr="00977945">
        <w:rPr>
          <w:lang w:val="pl-PL"/>
        </w:rPr>
        <w:t>103</w:t>
      </w:r>
      <w:bookmarkEnd w:id="73"/>
      <w:bookmarkEnd w:id="74"/>
      <w:r w:rsidRPr="00977945">
        <w:rPr>
          <w:lang w:val="pl-PL"/>
        </w:rPr>
        <w:t>.</w:t>
      </w:r>
      <w:r>
        <w:rPr>
          <w:lang w:val="pl-PL"/>
        </w:rPr>
        <w:t xml:space="preserve"> </w:t>
      </w:r>
      <w:r w:rsidRPr="00977945">
        <w:rPr>
          <w:lang w:val="pl-PL"/>
        </w:rPr>
        <w:t>Trybunał zauważa ponadto, że jego orzecznictwo wskazuje (zob.</w:t>
      </w:r>
      <w:r w:rsidR="001F5A65">
        <w:rPr>
          <w:lang w:val="pl-PL"/>
        </w:rPr>
        <w:t> </w:t>
      </w:r>
      <w:r w:rsidRPr="00977945">
        <w:rPr>
          <w:lang w:val="pl-PL"/>
        </w:rPr>
        <w:t>np.</w:t>
      </w:r>
      <w:r w:rsidR="001F5A65">
        <w:rPr>
          <w:lang w:val="pl-PL"/>
        </w:rPr>
        <w:t> </w:t>
      </w:r>
      <w:r w:rsidRPr="00977945">
        <w:rPr>
          <w:i/>
          <w:iCs/>
          <w:lang w:val="pl-PL"/>
        </w:rPr>
        <w:t>Nikitin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 37; </w:t>
      </w:r>
      <w:r w:rsidR="00C05803">
        <w:rPr>
          <w:i/>
          <w:iCs/>
          <w:lang w:val="pl-PL"/>
        </w:rPr>
        <w:t>Storbråten</w:t>
      </w:r>
      <w:r w:rsidRPr="00977945">
        <w:rPr>
          <w:lang w:val="pl-PL"/>
        </w:rPr>
        <w:t>,</w:t>
      </w:r>
      <w:r w:rsidRPr="00977945">
        <w:rPr>
          <w:i/>
          <w:iCs/>
          <w:lang w:val="pl-PL"/>
        </w:rPr>
        <w:t xml:space="preserve"> </w:t>
      </w:r>
      <w:r w:rsidRPr="00977945">
        <w:rPr>
          <w:lang w:val="pl-PL"/>
        </w:rPr>
        <w:t>(dec.), nr 12277/04, 1</w:t>
      </w:r>
      <w:r w:rsidR="000F46C5">
        <w:rPr>
          <w:lang w:val="pl-PL"/>
        </w:rPr>
        <w:t xml:space="preserve"> </w:t>
      </w:r>
      <w:r w:rsidRPr="00977945">
        <w:rPr>
          <w:lang w:val="pl-PL"/>
        </w:rPr>
        <w:t>lutego 2007</w:t>
      </w:r>
      <w:r w:rsidR="001F5A65">
        <w:rPr>
          <w:lang w:val="pl-PL"/>
        </w:rPr>
        <w:t> </w:t>
      </w:r>
      <w:r w:rsidRPr="00977945">
        <w:rPr>
          <w:lang w:val="pl-PL"/>
        </w:rPr>
        <w:t xml:space="preserve">r.; </w:t>
      </w:r>
      <w:r w:rsidRPr="00977945">
        <w:rPr>
          <w:i/>
          <w:iCs/>
          <w:lang w:val="pl-PL"/>
        </w:rPr>
        <w:t>Horciag</w:t>
      </w:r>
      <w:r w:rsidRPr="00977945">
        <w:rPr>
          <w:lang w:val="pl-PL"/>
        </w:rPr>
        <w:t xml:space="preserve"> i </w:t>
      </w:r>
      <w:r w:rsidRPr="00977945">
        <w:rPr>
          <w:i/>
          <w:iCs/>
          <w:lang w:val="pl-PL"/>
        </w:rPr>
        <w:t>Sundqvist</w:t>
      </w:r>
      <w:r w:rsidRPr="00977945">
        <w:rPr>
          <w:lang w:val="pl-PL"/>
        </w:rPr>
        <w:t>,</w:t>
      </w:r>
      <w:r w:rsidRPr="00977945">
        <w:rPr>
          <w:i/>
          <w:iCs/>
          <w:lang w:val="pl-PL"/>
        </w:rPr>
        <w:t xml:space="preserve"> </w:t>
      </w:r>
      <w:r w:rsidRPr="00977945">
        <w:rPr>
          <w:lang w:val="pl-PL"/>
        </w:rPr>
        <w:t xml:space="preserve">wszystkie cytowane powyżej; oraz </w:t>
      </w:r>
      <w:r w:rsidRPr="00977945">
        <w:rPr>
          <w:i/>
          <w:iCs/>
          <w:lang w:val="pl-PL"/>
        </w:rPr>
        <w:t>Sergey Zolotukhin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 107), iż przy ustalaniu, jakie orzeczenie było „prawomocne” w</w:t>
      </w:r>
      <w:r w:rsidR="000F46C5">
        <w:rPr>
          <w:lang w:val="pl-PL"/>
        </w:rPr>
        <w:t xml:space="preserve"> </w:t>
      </w:r>
      <w:r w:rsidRPr="00977945">
        <w:rPr>
          <w:lang w:val="pl-PL"/>
        </w:rPr>
        <w:t>sprawach przed nim zawisłych, niezmiennie odwoływał się do kryterium określonego w sprawozdaniu wyjaśniającym do Protokołu nr 7, uznając, że</w:t>
      </w:r>
      <w:r w:rsidR="000F46C5">
        <w:rPr>
          <w:lang w:val="pl-PL"/>
        </w:rPr>
        <w:t xml:space="preserve"> </w:t>
      </w:r>
      <w:r w:rsidRPr="00977945">
        <w:rPr>
          <w:lang w:val="pl-PL"/>
        </w:rPr>
        <w:t>orzeczenie było „prawomocne”, niezależnie od jego charakteru w</w:t>
      </w:r>
      <w:r w:rsidR="001F5A65">
        <w:rPr>
          <w:lang w:val="pl-PL"/>
        </w:rPr>
        <w:t> </w:t>
      </w:r>
      <w:r w:rsidRPr="00977945">
        <w:rPr>
          <w:lang w:val="pl-PL"/>
        </w:rPr>
        <w:t>prawie krajowym, po wyczerpaniu „zwyczajnych” środków odwoławczych lub upływie terminu przewidzianego w prawie krajowym na</w:t>
      </w:r>
      <w:r w:rsidR="001F5A65">
        <w:rPr>
          <w:lang w:val="pl-PL"/>
        </w:rPr>
        <w:t> </w:t>
      </w:r>
      <w:r w:rsidRPr="00977945">
        <w:rPr>
          <w:lang w:val="pl-PL"/>
        </w:rPr>
        <w:t>ich wykorzystanie. Środki odwoławcze, które Trybunał określił jako „nadzwyczajne”</w:t>
      </w:r>
      <w:r w:rsidR="00BF2623">
        <w:rPr>
          <w:lang w:val="pl-PL"/>
        </w:rPr>
        <w:t>,</w:t>
      </w:r>
      <w:r w:rsidRPr="00977945">
        <w:rPr>
          <w:lang w:val="pl-PL"/>
        </w:rPr>
        <w:t xml:space="preserve"> nie są brane pod uwagę przy ustalaniu, jakie było „prawomocne” orzeczenie w</w:t>
      </w:r>
      <w:r w:rsidR="000F46C5">
        <w:rPr>
          <w:lang w:val="pl-PL"/>
        </w:rPr>
        <w:t xml:space="preserve"> </w:t>
      </w:r>
      <w:r w:rsidRPr="00977945">
        <w:rPr>
          <w:lang w:val="pl-PL"/>
        </w:rPr>
        <w:t>rozumieniu art. 4 Protokołu nr 7 (zob</w:t>
      </w:r>
      <w:r w:rsidRPr="00977945">
        <w:rPr>
          <w:i/>
          <w:iCs/>
          <w:lang w:val="pl-PL"/>
        </w:rPr>
        <w:t>. Nikitin</w:t>
      </w:r>
      <w:r w:rsidRPr="00977945">
        <w:rPr>
          <w:lang w:val="pl-PL"/>
        </w:rPr>
        <w:t xml:space="preserve">, </w:t>
      </w:r>
      <w:r w:rsidRPr="00977945">
        <w:rPr>
          <w:i/>
          <w:iCs/>
          <w:lang w:val="pl-PL"/>
        </w:rPr>
        <w:lastRenderedPageBreak/>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 xml:space="preserve">37–39; </w:t>
      </w:r>
      <w:r w:rsidRPr="00977945">
        <w:rPr>
          <w:i/>
          <w:iCs/>
          <w:lang w:val="pl-PL"/>
        </w:rPr>
        <w:t>Sergey Zolotukhin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 xml:space="preserve">108; </w:t>
      </w:r>
      <w:r w:rsidRPr="00977945">
        <w:rPr>
          <w:i/>
          <w:iCs/>
          <w:lang w:val="pl-PL"/>
        </w:rPr>
        <w:t>Sismanidis i Sitaridis</w:t>
      </w:r>
      <w:r w:rsidRPr="00977945">
        <w:rPr>
          <w:lang w:val="pl-PL"/>
        </w:rPr>
        <w:t xml:space="preserve"> </w:t>
      </w:r>
      <w:r w:rsidRPr="00977945">
        <w:rPr>
          <w:i/>
          <w:iCs/>
          <w:lang w:val="pl-PL"/>
        </w:rPr>
        <w:t>przeciwko Grecji</w:t>
      </w:r>
      <w:r w:rsidRPr="00977945">
        <w:rPr>
          <w:lang w:val="pl-PL"/>
        </w:rPr>
        <w:t>, nr</w:t>
      </w:r>
      <w:r w:rsidR="000F46C5">
        <w:rPr>
          <w:lang w:val="pl-PL"/>
        </w:rPr>
        <w:t xml:space="preserve"> </w:t>
      </w:r>
      <w:r w:rsidRPr="00977945">
        <w:rPr>
          <w:lang w:val="pl-PL"/>
        </w:rPr>
        <w:t>66602/09 i 71879/12</w:t>
      </w:r>
      <w:r w:rsidRPr="00977945">
        <w:rPr>
          <w:snapToGrid w:val="0"/>
          <w:lang w:val="pl-PL"/>
        </w:rPr>
        <w:t>, §</w:t>
      </w:r>
      <w:r w:rsidR="000F46C5">
        <w:rPr>
          <w:snapToGrid w:val="0"/>
          <w:lang w:val="pl-PL"/>
        </w:rPr>
        <w:t xml:space="preserve"> </w:t>
      </w:r>
      <w:r w:rsidRPr="00977945">
        <w:rPr>
          <w:snapToGrid w:val="0"/>
          <w:lang w:val="pl-PL"/>
        </w:rPr>
        <w:t>42, 9</w:t>
      </w:r>
      <w:r w:rsidR="000F46C5">
        <w:rPr>
          <w:snapToGrid w:val="0"/>
          <w:lang w:val="pl-PL"/>
        </w:rPr>
        <w:t xml:space="preserve"> </w:t>
      </w:r>
      <w:r w:rsidRPr="00977945">
        <w:rPr>
          <w:lang w:val="pl-PL"/>
        </w:rPr>
        <w:t>czerwca</w:t>
      </w:r>
      <w:r w:rsidRPr="00977945">
        <w:rPr>
          <w:snapToGrid w:val="0"/>
          <w:lang w:val="pl-PL"/>
        </w:rPr>
        <w:t xml:space="preserve"> 2016 r.; oraz</w:t>
      </w:r>
      <w:r w:rsidRPr="00977945">
        <w:rPr>
          <w:lang w:val="pl-PL"/>
        </w:rPr>
        <w:t xml:space="preserve"> </w:t>
      </w:r>
      <w:r w:rsidRPr="00977945">
        <w:rPr>
          <w:i/>
          <w:iCs/>
          <w:lang w:val="pl-PL"/>
        </w:rPr>
        <w:t>Šimkus przeciwko Litwie</w:t>
      </w:r>
      <w:r w:rsidRPr="00977945">
        <w:rPr>
          <w:lang w:val="pl-PL"/>
        </w:rPr>
        <w:t>, nr 41788/11, § 47, 13</w:t>
      </w:r>
      <w:r w:rsidR="000F46C5">
        <w:rPr>
          <w:lang w:val="pl-PL"/>
        </w:rPr>
        <w:t xml:space="preserve"> </w:t>
      </w:r>
      <w:r w:rsidRPr="00977945">
        <w:rPr>
          <w:lang w:val="pl-PL"/>
        </w:rPr>
        <w:t>czerwca 2017 r.). Innymi słowy, dokonując kontroli, Trybunał nie uwzględni</w:t>
      </w:r>
      <w:r w:rsidR="00BF2623">
        <w:rPr>
          <w:lang w:val="pl-PL"/>
        </w:rPr>
        <w:t>a</w:t>
      </w:r>
      <w:r w:rsidRPr="00977945">
        <w:rPr>
          <w:lang w:val="pl-PL"/>
        </w:rPr>
        <w:t>ł automatycznie klasyfikacji stosowanej w</w:t>
      </w:r>
      <w:r w:rsidR="000F46C5">
        <w:rPr>
          <w:lang w:val="pl-PL"/>
        </w:rPr>
        <w:t xml:space="preserve"> </w:t>
      </w:r>
      <w:r w:rsidRPr="00977945">
        <w:rPr>
          <w:lang w:val="pl-PL"/>
        </w:rPr>
        <w:t>prawie krajowym w celu ustalenia, czy orzeczenie było „prawomocne”, czy też nie: dokon</w:t>
      </w:r>
      <w:r w:rsidR="00BF2623">
        <w:rPr>
          <w:lang w:val="pl-PL"/>
        </w:rPr>
        <w:t>yw</w:t>
      </w:r>
      <w:r w:rsidRPr="00977945">
        <w:rPr>
          <w:lang w:val="pl-PL"/>
        </w:rPr>
        <w:t>ał on własnej oceny „pr</w:t>
      </w:r>
      <w:r w:rsidR="00BF2623">
        <w:rPr>
          <w:lang w:val="pl-PL"/>
        </w:rPr>
        <w:t>awomocnego” charakteru decyzji z odniesieniem</w:t>
      </w:r>
      <w:r w:rsidRPr="00977945">
        <w:rPr>
          <w:lang w:val="pl-PL"/>
        </w:rPr>
        <w:t xml:space="preserve"> do „zwyczajnych” środków odwoławczych dostępnych dla stron.</w:t>
      </w:r>
    </w:p>
    <w:p w14:paraId="0CDFA8AB" w14:textId="606F4FA9" w:rsidR="009E53C0" w:rsidRPr="00977945" w:rsidRDefault="009E53C0" w:rsidP="000D30FE">
      <w:pPr>
        <w:pStyle w:val="ECHRPara"/>
        <w:rPr>
          <w:rFonts w:eastAsia="Times New Roman"/>
          <w:lang w:val="pl-PL"/>
        </w:rPr>
      </w:pPr>
      <w:r w:rsidRPr="00977945">
        <w:rPr>
          <w:rFonts w:eastAsia="Times New Roman"/>
          <w:lang w:val="pl-PL"/>
        </w:rPr>
        <w:t>104.</w:t>
      </w:r>
      <w:r>
        <w:rPr>
          <w:rFonts w:eastAsia="Times New Roman"/>
          <w:lang w:val="pl-PL"/>
        </w:rPr>
        <w:t xml:space="preserve"> </w:t>
      </w:r>
      <w:r w:rsidRPr="00977945">
        <w:rPr>
          <w:rFonts w:eastAsia="Times New Roman"/>
          <w:lang w:val="pl-PL"/>
        </w:rPr>
        <w:t xml:space="preserve">Niemniej lektura niektórych orzeczeń wydanych przez Trybunał przed wyrokami </w:t>
      </w:r>
      <w:r w:rsidRPr="00977945">
        <w:rPr>
          <w:rFonts w:eastAsia="Times New Roman"/>
          <w:i/>
          <w:iCs/>
          <w:lang w:val="pl-PL"/>
        </w:rPr>
        <w:t xml:space="preserve">Sergey Zolotukhin </w:t>
      </w:r>
      <w:r w:rsidRPr="00977945">
        <w:rPr>
          <w:rFonts w:eastAsia="Times New Roman"/>
          <w:lang w:val="pl-PL"/>
        </w:rPr>
        <w:t xml:space="preserve">i </w:t>
      </w:r>
      <w:r w:rsidRPr="00977945">
        <w:rPr>
          <w:rFonts w:eastAsia="Times New Roman"/>
          <w:i/>
          <w:iCs/>
          <w:lang w:val="pl-PL"/>
        </w:rPr>
        <w:t xml:space="preserve">Marguš </w:t>
      </w:r>
      <w:r w:rsidRPr="00977945">
        <w:rPr>
          <w:rFonts w:eastAsia="Times New Roman"/>
          <w:lang w:val="pl-PL"/>
        </w:rPr>
        <w:t>(</w:t>
      </w:r>
      <w:r w:rsidRPr="00977945">
        <w:rPr>
          <w:rFonts w:eastAsia="Times New Roman"/>
          <w:i/>
          <w:iCs/>
          <w:lang w:val="pl-PL"/>
        </w:rPr>
        <w:t>op.</w:t>
      </w:r>
      <w:r>
        <w:rPr>
          <w:rFonts w:eastAsia="Times New Roman"/>
          <w:i/>
          <w:iCs/>
          <w:lang w:val="pl-PL"/>
        </w:rPr>
        <w:t xml:space="preserve"> </w:t>
      </w:r>
      <w:r w:rsidRPr="00977945">
        <w:rPr>
          <w:rFonts w:eastAsia="Times New Roman"/>
          <w:i/>
          <w:iCs/>
          <w:lang w:val="pl-PL"/>
        </w:rPr>
        <w:t>cit.</w:t>
      </w:r>
      <w:r w:rsidRPr="00977945">
        <w:rPr>
          <w:rFonts w:eastAsia="Times New Roman"/>
          <w:lang w:val="pl-PL"/>
        </w:rPr>
        <w:t xml:space="preserve">), a w szczególności przed wyrokiem w sprawie </w:t>
      </w:r>
      <w:r w:rsidRPr="00977945">
        <w:rPr>
          <w:rFonts w:eastAsia="Times New Roman"/>
          <w:i/>
          <w:iCs/>
          <w:lang w:val="pl-PL"/>
        </w:rPr>
        <w:t xml:space="preserve">Horciag, Sundqvist </w:t>
      </w:r>
      <w:r w:rsidRPr="00977945">
        <w:rPr>
          <w:rFonts w:eastAsia="Times New Roman"/>
          <w:lang w:val="pl-PL"/>
        </w:rPr>
        <w:t>i</w:t>
      </w:r>
      <w:r w:rsidRPr="00977945">
        <w:rPr>
          <w:rFonts w:eastAsia="Times New Roman"/>
          <w:i/>
          <w:iCs/>
          <w:lang w:val="pl-PL"/>
        </w:rPr>
        <w:t xml:space="preserve"> </w:t>
      </w:r>
      <w:r w:rsidR="00C05803">
        <w:rPr>
          <w:rFonts w:eastAsia="Times New Roman"/>
          <w:i/>
          <w:iCs/>
          <w:lang w:val="pl-PL"/>
        </w:rPr>
        <w:t>Storbråten</w:t>
      </w:r>
      <w:r w:rsidRPr="00977945">
        <w:rPr>
          <w:rFonts w:eastAsia="Times New Roman"/>
          <w:lang w:val="pl-PL"/>
        </w:rPr>
        <w:t xml:space="preserve"> (wszystkie cytowane powyżej), może sprawiać wrażenie, że kwestia ostatecznego charakteru orzeczenia jest regulowana wyłącznie przez prawo krajowe danego państwa (w celu dokonania oceny tych samych rumuńskich ram prawnych z punktu widzenia art. 6 ust. 1 Konwencji, dotyczącego czasu trwania postępowania, zob. także </w:t>
      </w:r>
      <w:r w:rsidRPr="00977945">
        <w:rPr>
          <w:rFonts w:eastAsia="Times New Roman"/>
          <w:i/>
          <w:iCs/>
          <w:lang w:val="pl-PL"/>
        </w:rPr>
        <w:t>Stoianova i Nedelcu przeciwko Rumunii</w:t>
      </w:r>
      <w:r w:rsidRPr="00977945">
        <w:rPr>
          <w:rFonts w:eastAsia="Times New Roman"/>
          <w:lang w:val="pl-PL"/>
        </w:rPr>
        <w:t>, nr</w:t>
      </w:r>
      <w:r w:rsidR="001F5A65">
        <w:rPr>
          <w:rFonts w:eastAsia="Times New Roman"/>
          <w:lang w:val="pl-PL"/>
        </w:rPr>
        <w:t> </w:t>
      </w:r>
      <w:r w:rsidRPr="00977945">
        <w:rPr>
          <w:rFonts w:eastAsia="Times New Roman"/>
          <w:lang w:val="pl-PL"/>
        </w:rPr>
        <w:t xml:space="preserve">77517/01 i 77722/01, </w:t>
      </w:r>
      <w:r w:rsidR="000F46C5">
        <w:rPr>
          <w:rFonts w:eastAsia="Times New Roman"/>
          <w:lang w:val="pl-PL"/>
        </w:rPr>
        <w:t>ETPC</w:t>
      </w:r>
      <w:r w:rsidRPr="00977945">
        <w:rPr>
          <w:rFonts w:eastAsia="Times New Roman"/>
          <w:lang w:val="pl-PL"/>
        </w:rPr>
        <w:t xml:space="preserve"> 2005</w:t>
      </w:r>
      <w:r w:rsidRPr="00977945">
        <w:rPr>
          <w:rFonts w:eastAsia="Times New Roman"/>
          <w:lang w:val="pl-PL"/>
        </w:rPr>
        <w:noBreakHyphen/>
        <w:t>VIII). Jednakże odniesienia do prawa krajowego w tych orzeczeniach powinny być interpretowane w sposób bardziej kwalifikowany i rozpatrywane w ich kontekście.</w:t>
      </w:r>
    </w:p>
    <w:p w14:paraId="7B565A3F" w14:textId="294FFCA2" w:rsidR="009E53C0" w:rsidRPr="00977945" w:rsidRDefault="009E53C0" w:rsidP="000D30FE">
      <w:pPr>
        <w:pStyle w:val="ECHRPara"/>
        <w:rPr>
          <w:rFonts w:eastAsia="Times New Roman"/>
          <w:lang w:val="pl-PL"/>
        </w:rPr>
      </w:pPr>
      <w:r w:rsidRPr="00977945">
        <w:rPr>
          <w:rFonts w:eastAsia="Times New Roman"/>
          <w:lang w:val="pl-PL"/>
        </w:rPr>
        <w:t>105.</w:t>
      </w:r>
      <w:r>
        <w:rPr>
          <w:rFonts w:eastAsia="Times New Roman"/>
          <w:lang w:val="pl-PL"/>
        </w:rPr>
        <w:t xml:space="preserve"> </w:t>
      </w:r>
      <w:r w:rsidRPr="00977945">
        <w:rPr>
          <w:rFonts w:eastAsia="Times New Roman"/>
          <w:lang w:val="pl-PL"/>
        </w:rPr>
        <w:t xml:space="preserve">W sprawie </w:t>
      </w:r>
      <w:r w:rsidR="00C05803" w:rsidRPr="00C05803">
        <w:rPr>
          <w:rFonts w:eastAsia="Times New Roman"/>
          <w:i/>
          <w:lang w:val="pl-PL" w:eastAsia="fr-FR"/>
        </w:rPr>
        <w:t>Storbråten</w:t>
      </w:r>
      <w:r w:rsidRPr="00977945">
        <w:rPr>
          <w:rFonts w:eastAsia="Times New Roman"/>
          <w:lang w:val="pl-PL"/>
        </w:rPr>
        <w:t xml:space="preserve"> (</w:t>
      </w:r>
      <w:r w:rsidRPr="00977945">
        <w:rPr>
          <w:rFonts w:eastAsia="Times New Roman"/>
          <w:i/>
          <w:iCs/>
          <w:lang w:val="pl-PL"/>
        </w:rPr>
        <w:t>op.</w:t>
      </w:r>
      <w:r>
        <w:rPr>
          <w:rFonts w:eastAsia="Times New Roman"/>
          <w:i/>
          <w:iCs/>
          <w:lang w:val="pl-PL"/>
        </w:rPr>
        <w:t xml:space="preserve"> </w:t>
      </w:r>
      <w:r w:rsidRPr="00977945">
        <w:rPr>
          <w:rFonts w:eastAsia="Times New Roman"/>
          <w:i/>
          <w:iCs/>
          <w:lang w:val="pl-PL"/>
        </w:rPr>
        <w:t>cit.</w:t>
      </w:r>
      <w:r w:rsidRPr="00977945">
        <w:rPr>
          <w:rFonts w:eastAsia="Times New Roman"/>
          <w:lang w:val="pl-PL"/>
        </w:rPr>
        <w:t>) Trybunał wskazał, że</w:t>
      </w:r>
      <w:r w:rsidR="000F46C5">
        <w:rPr>
          <w:rFonts w:eastAsia="Times New Roman"/>
          <w:lang w:val="pl-PL"/>
        </w:rPr>
        <w:t xml:space="preserve"> </w:t>
      </w:r>
      <w:r w:rsidRPr="00977945">
        <w:rPr>
          <w:rFonts w:eastAsia="Times New Roman"/>
          <w:lang w:val="pl-PL"/>
        </w:rPr>
        <w:t>w</w:t>
      </w:r>
      <w:r w:rsidR="000F46C5">
        <w:rPr>
          <w:rFonts w:eastAsia="Times New Roman"/>
          <w:lang w:val="pl-PL"/>
        </w:rPr>
        <w:t xml:space="preserve"> </w:t>
      </w:r>
      <w:r w:rsidRPr="00977945">
        <w:rPr>
          <w:rFonts w:eastAsia="Times New Roman"/>
          <w:lang w:val="pl-PL"/>
        </w:rPr>
        <w:t>celu ustalenia „momentu”, w którym orzeczenie stało się prawomocn</w:t>
      </w:r>
      <w:r>
        <w:rPr>
          <w:rFonts w:eastAsia="Times New Roman"/>
          <w:lang w:val="pl-PL"/>
        </w:rPr>
        <w:t>e</w:t>
      </w:r>
      <w:r w:rsidRPr="00977945">
        <w:rPr>
          <w:rFonts w:eastAsia="Times New Roman"/>
          <w:lang w:val="pl-PL"/>
        </w:rPr>
        <w:t>, należy wziąć pod uwagę prawo krajowe. Trybunał sam ustalił, w świetle kryterium przedstawionego w sprawozdaniu wyjaśniającym, jakie było „prawomocne” orzeczenie krajowe, biorąc pod uwagę procedury istniejące w prawie krajowym. W tym przypadku prawo krajowe i zastosowanie kryteriów określonych w sprawozdaniu wyjaśniającym doprowadziło do tego samego rezultatu: orzeczenie wydane przez Probate and Bankruptcy Court stało się prawomocne wobec braku odwołania ze strony skarżącej, a</w:t>
      </w:r>
      <w:r w:rsidR="000F46C5">
        <w:rPr>
          <w:rFonts w:eastAsia="Times New Roman"/>
          <w:lang w:val="pl-PL"/>
        </w:rPr>
        <w:t xml:space="preserve"> </w:t>
      </w:r>
      <w:r w:rsidRPr="00977945">
        <w:rPr>
          <w:rFonts w:eastAsia="Times New Roman"/>
          <w:lang w:val="pl-PL"/>
        </w:rPr>
        <w:t>zatem po upływie terminu przewidzianego w prawie krajowym na skorzystanie ze</w:t>
      </w:r>
      <w:r w:rsidR="001F5A65">
        <w:rPr>
          <w:rFonts w:eastAsia="Times New Roman"/>
          <w:lang w:val="pl-PL"/>
        </w:rPr>
        <w:t> </w:t>
      </w:r>
      <w:r w:rsidRPr="00977945">
        <w:rPr>
          <w:rFonts w:eastAsia="Times New Roman"/>
          <w:lang w:val="pl-PL"/>
        </w:rPr>
        <w:t>„zwyczajnego” środka zaskarżenia.</w:t>
      </w:r>
    </w:p>
    <w:p w14:paraId="3AD11095" w14:textId="13615C9C" w:rsidR="009E53C0" w:rsidRPr="00977945" w:rsidRDefault="009E53C0" w:rsidP="000D30FE">
      <w:pPr>
        <w:pStyle w:val="ECHRPara"/>
        <w:rPr>
          <w:rFonts w:eastAsia="Times New Roman"/>
          <w:lang w:val="pl-PL"/>
        </w:rPr>
      </w:pPr>
      <w:r w:rsidRPr="00977945">
        <w:rPr>
          <w:rFonts w:eastAsia="Times New Roman"/>
          <w:lang w:val="pl-PL"/>
        </w:rPr>
        <w:t>106.</w:t>
      </w:r>
      <w:r>
        <w:rPr>
          <w:rFonts w:eastAsia="Times New Roman"/>
          <w:lang w:val="pl-PL"/>
        </w:rPr>
        <w:t xml:space="preserve"> </w:t>
      </w:r>
      <w:r w:rsidRPr="00977945">
        <w:rPr>
          <w:rFonts w:eastAsia="Times New Roman"/>
          <w:lang w:val="pl-PL"/>
        </w:rPr>
        <w:t xml:space="preserve">Sprawy </w:t>
      </w:r>
      <w:r w:rsidRPr="00977945">
        <w:rPr>
          <w:rFonts w:eastAsia="Times New Roman"/>
          <w:i/>
          <w:iCs/>
          <w:lang w:val="pl-PL"/>
        </w:rPr>
        <w:t>Horciag, Sundqvist, Stoianova</w:t>
      </w:r>
      <w:r w:rsidRPr="00977945">
        <w:rPr>
          <w:rFonts w:eastAsia="Times New Roman"/>
          <w:lang w:val="pl-PL"/>
        </w:rPr>
        <w:t xml:space="preserve"> </w:t>
      </w:r>
      <w:r w:rsidRPr="00977945">
        <w:rPr>
          <w:rFonts w:eastAsia="Times New Roman"/>
          <w:i/>
          <w:iCs/>
          <w:lang w:val="pl-PL"/>
        </w:rPr>
        <w:t>i</w:t>
      </w:r>
      <w:r w:rsidRPr="00977945">
        <w:rPr>
          <w:rFonts w:eastAsia="Times New Roman"/>
          <w:lang w:val="pl-PL"/>
        </w:rPr>
        <w:t xml:space="preserve"> </w:t>
      </w:r>
      <w:r w:rsidRPr="00977945">
        <w:rPr>
          <w:rFonts w:eastAsia="Times New Roman"/>
          <w:i/>
          <w:iCs/>
          <w:lang w:val="pl-PL"/>
        </w:rPr>
        <w:t>Nedelcu</w:t>
      </w:r>
      <w:r w:rsidRPr="00977945">
        <w:rPr>
          <w:rFonts w:eastAsia="Times New Roman"/>
          <w:lang w:val="pl-PL"/>
        </w:rPr>
        <w:t xml:space="preserve"> (wszystkie cytowane powyżej) różnią się od niniejszej sprawy. W sprawie </w:t>
      </w:r>
      <w:r w:rsidRPr="00977945">
        <w:rPr>
          <w:rFonts w:eastAsia="Times New Roman"/>
          <w:i/>
          <w:iCs/>
          <w:lang w:val="pl-PL"/>
        </w:rPr>
        <w:t>Horciag</w:t>
      </w:r>
      <w:r w:rsidRPr="00977945">
        <w:rPr>
          <w:rFonts w:eastAsia="Times New Roman"/>
          <w:lang w:val="pl-PL"/>
        </w:rPr>
        <w:t xml:space="preserve"> w</w:t>
      </w:r>
      <w:r w:rsidR="001F5A65">
        <w:rPr>
          <w:rFonts w:eastAsia="Times New Roman"/>
          <w:lang w:val="pl-PL"/>
        </w:rPr>
        <w:t> </w:t>
      </w:r>
      <w:r w:rsidRPr="00977945">
        <w:rPr>
          <w:rFonts w:eastAsia="Times New Roman"/>
          <w:lang w:val="pl-PL"/>
        </w:rPr>
        <w:t xml:space="preserve">stosunku do skarżącego wydano decyzję o umorzeniu postępowania, której towarzyszył nakaz zatrzymania – środek zapobiegawczy </w:t>
      </w:r>
      <w:r w:rsidRPr="00977945">
        <w:rPr>
          <w:rFonts w:eastAsia="Times New Roman"/>
          <w:i/>
          <w:iCs/>
          <w:lang w:val="pl-PL"/>
        </w:rPr>
        <w:t>–</w:t>
      </w:r>
      <w:r w:rsidRPr="00977945">
        <w:rPr>
          <w:rFonts w:eastAsia="Times New Roman"/>
          <w:lang w:val="pl-PL"/>
        </w:rPr>
        <w:t xml:space="preserve"> a nie kara. Sprawy </w:t>
      </w:r>
      <w:r w:rsidRPr="00977945">
        <w:rPr>
          <w:rFonts w:eastAsia="Times New Roman"/>
          <w:i/>
          <w:iCs/>
          <w:lang w:val="pl-PL"/>
        </w:rPr>
        <w:t>Sundqvist</w:t>
      </w:r>
      <w:r w:rsidRPr="00977945">
        <w:rPr>
          <w:rFonts w:eastAsia="Times New Roman"/>
          <w:lang w:val="pl-PL"/>
        </w:rPr>
        <w:t xml:space="preserve"> oraz </w:t>
      </w:r>
      <w:r w:rsidRPr="00977945">
        <w:rPr>
          <w:rFonts w:eastAsia="Times New Roman"/>
          <w:i/>
          <w:iCs/>
          <w:lang w:val="pl-PL"/>
        </w:rPr>
        <w:t>Stoianova</w:t>
      </w:r>
      <w:r w:rsidRPr="00977945">
        <w:rPr>
          <w:rFonts w:eastAsia="Times New Roman"/>
          <w:lang w:val="pl-PL"/>
        </w:rPr>
        <w:t xml:space="preserve"> </w:t>
      </w:r>
      <w:r w:rsidRPr="00977945">
        <w:rPr>
          <w:rFonts w:eastAsia="Times New Roman"/>
          <w:i/>
          <w:iCs/>
          <w:lang w:val="pl-PL"/>
        </w:rPr>
        <w:t>i</w:t>
      </w:r>
      <w:r w:rsidRPr="00977945">
        <w:rPr>
          <w:rFonts w:eastAsia="Times New Roman"/>
          <w:lang w:val="pl-PL"/>
        </w:rPr>
        <w:t xml:space="preserve"> </w:t>
      </w:r>
      <w:r w:rsidRPr="00977945">
        <w:rPr>
          <w:rFonts w:eastAsia="Times New Roman"/>
          <w:i/>
          <w:iCs/>
          <w:lang w:val="pl-PL"/>
        </w:rPr>
        <w:t>Nedelcu</w:t>
      </w:r>
      <w:r w:rsidRPr="00977945">
        <w:rPr>
          <w:rFonts w:eastAsia="Times New Roman"/>
          <w:lang w:val="pl-PL"/>
        </w:rPr>
        <w:t xml:space="preserve"> dotyczyły prostych </w:t>
      </w:r>
      <w:r w:rsidR="00F239C9">
        <w:rPr>
          <w:rFonts w:eastAsia="Times New Roman"/>
          <w:lang w:val="pl-PL"/>
        </w:rPr>
        <w:t>zarządzeń o</w:t>
      </w:r>
      <w:r w:rsidR="001F5A65">
        <w:rPr>
          <w:rFonts w:eastAsia="Times New Roman"/>
          <w:lang w:val="pl-PL"/>
        </w:rPr>
        <w:t> </w:t>
      </w:r>
      <w:r w:rsidR="00F239C9">
        <w:rPr>
          <w:rFonts w:eastAsia="Times New Roman"/>
          <w:lang w:val="pl-PL"/>
        </w:rPr>
        <w:t>umorzeniu</w:t>
      </w:r>
      <w:r w:rsidRPr="00977945">
        <w:rPr>
          <w:rFonts w:eastAsia="Times New Roman"/>
          <w:lang w:val="pl-PL"/>
        </w:rPr>
        <w:t>, a nie decyzji pociągających za sobą „uniewinnienie” lub</w:t>
      </w:r>
      <w:r w:rsidR="001F5A65">
        <w:rPr>
          <w:rFonts w:eastAsia="Times New Roman"/>
          <w:lang w:val="pl-PL"/>
        </w:rPr>
        <w:t> </w:t>
      </w:r>
      <w:r w:rsidRPr="00977945">
        <w:rPr>
          <w:rFonts w:eastAsia="Times New Roman"/>
          <w:lang w:val="pl-PL"/>
        </w:rPr>
        <w:t>„skazanie”. Jak już wcześniej wspomniano (zob. paragraf 96 powyżej), umorzenie postępowania karnego przez prokuratora nie jest równoznaczne ze</w:t>
      </w:r>
      <w:r w:rsidR="001F5A65">
        <w:rPr>
          <w:rFonts w:eastAsia="Times New Roman"/>
          <w:lang w:val="pl-PL"/>
        </w:rPr>
        <w:t> </w:t>
      </w:r>
      <w:r w:rsidRPr="00977945">
        <w:rPr>
          <w:rFonts w:eastAsia="Times New Roman"/>
          <w:lang w:val="pl-PL"/>
        </w:rPr>
        <w:t>skazaniem lub uniewinnieniem.</w:t>
      </w:r>
    </w:p>
    <w:p w14:paraId="0175FAFA" w14:textId="192A89F7" w:rsidR="009E53C0" w:rsidRPr="00977945" w:rsidRDefault="009E53C0" w:rsidP="000D30FE">
      <w:pPr>
        <w:pStyle w:val="ECHRPara"/>
        <w:rPr>
          <w:rFonts w:eastAsia="Times New Roman"/>
          <w:lang w:val="pl-PL"/>
        </w:rPr>
      </w:pPr>
      <w:r w:rsidRPr="00977945">
        <w:rPr>
          <w:rFonts w:eastAsia="Times New Roman"/>
          <w:lang w:val="pl-PL"/>
        </w:rPr>
        <w:t>107.</w:t>
      </w:r>
      <w:r>
        <w:rPr>
          <w:rFonts w:eastAsia="Times New Roman"/>
          <w:lang w:val="pl-PL"/>
        </w:rPr>
        <w:t xml:space="preserve"> </w:t>
      </w:r>
      <w:r w:rsidRPr="00977945">
        <w:rPr>
          <w:rFonts w:eastAsia="Times New Roman"/>
          <w:lang w:val="pl-PL"/>
        </w:rPr>
        <w:t xml:space="preserve">W każdym razie, nawet w sprawie </w:t>
      </w:r>
      <w:r w:rsidRPr="00977945">
        <w:rPr>
          <w:rFonts w:eastAsia="Times New Roman"/>
          <w:i/>
          <w:iCs/>
          <w:lang w:val="pl-PL"/>
        </w:rPr>
        <w:t>Horciag</w:t>
      </w:r>
      <w:r w:rsidRPr="00977945">
        <w:rPr>
          <w:rFonts w:eastAsia="Times New Roman"/>
          <w:lang w:val="pl-PL"/>
        </w:rPr>
        <w:t xml:space="preserve"> (</w:t>
      </w:r>
      <w:r w:rsidRPr="00977945">
        <w:rPr>
          <w:rFonts w:eastAsia="Times New Roman"/>
          <w:i/>
          <w:iCs/>
          <w:lang w:val="pl-PL"/>
        </w:rPr>
        <w:t>op.</w:t>
      </w:r>
      <w:r>
        <w:rPr>
          <w:rFonts w:eastAsia="Times New Roman"/>
          <w:i/>
          <w:iCs/>
          <w:lang w:val="pl-PL"/>
        </w:rPr>
        <w:t xml:space="preserve"> </w:t>
      </w:r>
      <w:r w:rsidRPr="00977945">
        <w:rPr>
          <w:rFonts w:eastAsia="Times New Roman"/>
          <w:i/>
          <w:iCs/>
          <w:lang w:val="pl-PL"/>
        </w:rPr>
        <w:t>cit.</w:t>
      </w:r>
      <w:r w:rsidRPr="00977945">
        <w:rPr>
          <w:rFonts w:eastAsia="Times New Roman"/>
          <w:lang w:val="pl-PL"/>
        </w:rPr>
        <w:t>) Trybunał dążył do ustalenia, czy wyrok utrzymujący w mocy tymczasowe postanowienie o</w:t>
      </w:r>
      <w:r w:rsidR="001F5A65">
        <w:rPr>
          <w:rFonts w:eastAsia="Times New Roman"/>
          <w:lang w:val="pl-PL"/>
        </w:rPr>
        <w:t> </w:t>
      </w:r>
      <w:r w:rsidRPr="00977945">
        <w:rPr>
          <w:rFonts w:eastAsia="Times New Roman"/>
          <w:lang w:val="pl-PL"/>
        </w:rPr>
        <w:t xml:space="preserve">zastosowaniu detencji psychiatrycznej stanowił orzeczenie prawomocne, odwołując się do przepisów prawa krajowego regulujących to pojęcie. Trybunał stwierdził w szczególności, że „z uwagi na tymczasowy charakter </w:t>
      </w:r>
      <w:r w:rsidR="00F239C9">
        <w:rPr>
          <w:rFonts w:eastAsia="Times New Roman"/>
          <w:lang w:val="pl-PL"/>
        </w:rPr>
        <w:lastRenderedPageBreak/>
        <w:t>pozbawienia wolności</w:t>
      </w:r>
      <w:r w:rsidRPr="00977945">
        <w:rPr>
          <w:rFonts w:eastAsia="Times New Roman"/>
          <w:lang w:val="pl-PL"/>
        </w:rPr>
        <w:t xml:space="preserve"> i jego potwierdzenie przez sąd, </w:t>
      </w:r>
      <w:r w:rsidR="00F239C9">
        <w:rPr>
          <w:rFonts w:eastAsia="Times New Roman"/>
          <w:lang w:val="pl-PL"/>
        </w:rPr>
        <w:t>podjęcie</w:t>
      </w:r>
      <w:r w:rsidR="00ED6A49">
        <w:rPr>
          <w:rFonts w:eastAsia="Times New Roman"/>
          <w:lang w:val="pl-PL"/>
        </w:rPr>
        <w:t xml:space="preserve"> </w:t>
      </w:r>
      <w:r w:rsidR="00ED6A49">
        <w:rPr>
          <w:rFonts w:eastAsia="Times New Roman"/>
          <w:lang w:val="pl-PL"/>
        </w:rPr>
        <w:t>na nowo</w:t>
      </w:r>
      <w:r w:rsidR="00F239C9">
        <w:rPr>
          <w:rFonts w:eastAsia="Times New Roman"/>
          <w:lang w:val="pl-PL"/>
        </w:rPr>
        <w:t xml:space="preserve"> </w:t>
      </w:r>
      <w:r w:rsidRPr="00977945">
        <w:rPr>
          <w:rFonts w:eastAsia="Times New Roman"/>
          <w:lang w:val="pl-PL"/>
        </w:rPr>
        <w:t>postępowania przez prokuraturę zgodnie z art. 273 Kodeksu postępowania karnego nie było wykluczone, mimo że postępowanie zostało wcześniej umorzone”. W</w:t>
      </w:r>
      <w:r w:rsidR="000F46C5">
        <w:rPr>
          <w:rFonts w:eastAsia="Times New Roman"/>
          <w:lang w:val="pl-PL"/>
        </w:rPr>
        <w:t xml:space="preserve"> </w:t>
      </w:r>
      <w:r w:rsidRPr="00977945">
        <w:rPr>
          <w:rFonts w:eastAsia="Times New Roman"/>
          <w:lang w:val="pl-PL"/>
        </w:rPr>
        <w:t xml:space="preserve">związku z tym w celu ustalenia, czy wyrok potwierdzający </w:t>
      </w:r>
      <w:r w:rsidR="00F239C9">
        <w:rPr>
          <w:rFonts w:eastAsia="Times New Roman"/>
          <w:lang w:val="pl-PL"/>
        </w:rPr>
        <w:t xml:space="preserve">pozbawienie wolności </w:t>
      </w:r>
      <w:r w:rsidRPr="00977945">
        <w:rPr>
          <w:rFonts w:eastAsia="Times New Roman"/>
          <w:lang w:val="pl-PL"/>
        </w:rPr>
        <w:t xml:space="preserve">skarżącego był prawomocny, Trybunał zbadał różne pojęcia </w:t>
      </w:r>
      <w:r w:rsidR="00F239C9">
        <w:rPr>
          <w:rFonts w:eastAsia="Times New Roman"/>
          <w:lang w:val="pl-PL"/>
        </w:rPr>
        <w:t xml:space="preserve">z zakresu </w:t>
      </w:r>
      <w:r w:rsidRPr="00977945">
        <w:rPr>
          <w:rFonts w:eastAsia="Times New Roman"/>
          <w:lang w:val="pl-PL"/>
        </w:rPr>
        <w:t>prawa materialnego regulujące charakter detencji psychiatrycznej oraz krajową procedurę zarządzenia takiego środka.</w:t>
      </w:r>
    </w:p>
    <w:p w14:paraId="2629E9F1" w14:textId="2BF8BCEE" w:rsidR="009E53C0" w:rsidRPr="00977945" w:rsidRDefault="009E53C0" w:rsidP="000D30FE">
      <w:pPr>
        <w:pStyle w:val="ECHRPara"/>
        <w:rPr>
          <w:rFonts w:eastAsia="Times New Roman"/>
          <w:lang w:val="pl-PL"/>
        </w:rPr>
      </w:pPr>
      <w:r w:rsidRPr="00977945">
        <w:rPr>
          <w:rFonts w:eastAsia="Times New Roman"/>
          <w:lang w:val="pl-PL"/>
        </w:rPr>
        <w:t>108.</w:t>
      </w:r>
      <w:r>
        <w:rPr>
          <w:rFonts w:eastAsia="Times New Roman"/>
          <w:lang w:val="pl-PL"/>
        </w:rPr>
        <w:t xml:space="preserve"> </w:t>
      </w:r>
      <w:r w:rsidRPr="00977945">
        <w:rPr>
          <w:rFonts w:eastAsia="Times New Roman"/>
          <w:lang w:val="pl-PL"/>
        </w:rPr>
        <w:t xml:space="preserve">W związku z tym Trybunał uważa, że decyzji w sprawach </w:t>
      </w:r>
      <w:r w:rsidR="00C05803">
        <w:rPr>
          <w:rFonts w:eastAsia="Times New Roman"/>
          <w:i/>
          <w:iCs/>
          <w:lang w:val="pl-PL"/>
        </w:rPr>
        <w:t>Storbråten</w:t>
      </w:r>
      <w:r w:rsidRPr="00977945">
        <w:rPr>
          <w:rFonts w:eastAsia="Times New Roman"/>
          <w:i/>
          <w:iCs/>
          <w:lang w:val="pl-PL"/>
        </w:rPr>
        <w:t xml:space="preserve">, Horciag </w:t>
      </w:r>
      <w:r w:rsidRPr="00977945">
        <w:rPr>
          <w:rFonts w:eastAsia="Times New Roman"/>
          <w:lang w:val="pl-PL"/>
        </w:rPr>
        <w:t xml:space="preserve">i </w:t>
      </w:r>
      <w:r w:rsidRPr="00977945">
        <w:rPr>
          <w:rFonts w:eastAsia="Times New Roman"/>
          <w:i/>
          <w:iCs/>
          <w:lang w:val="pl-PL"/>
        </w:rPr>
        <w:t xml:space="preserve">Sundqvist </w:t>
      </w:r>
      <w:r w:rsidRPr="00977945">
        <w:rPr>
          <w:rFonts w:eastAsia="Times New Roman"/>
          <w:lang w:val="pl-PL"/>
        </w:rPr>
        <w:t xml:space="preserve">(wszystkie cytowane powyżej) nie można interpretować jako wymagających </w:t>
      </w:r>
      <w:r w:rsidRPr="00977945">
        <w:rPr>
          <w:rFonts w:eastAsia="Times New Roman"/>
          <w:lang w:val="pl-PL"/>
        </w:rPr>
        <w:t>określenia „prawomocnego”</w:t>
      </w:r>
      <w:r w:rsidRPr="00977945">
        <w:rPr>
          <w:rFonts w:eastAsia="Times New Roman"/>
          <w:lang w:val="pl-PL"/>
        </w:rPr>
        <w:t xml:space="preserve"> orzeczenia</w:t>
      </w:r>
      <w:r w:rsidRPr="00977945">
        <w:rPr>
          <w:rFonts w:eastAsia="Times New Roman"/>
          <w:lang w:val="pl-PL"/>
        </w:rPr>
        <w:t>,</w:t>
      </w:r>
      <w:r w:rsidRPr="00977945">
        <w:rPr>
          <w:rFonts w:eastAsia="Times New Roman"/>
          <w:lang w:val="pl-PL"/>
        </w:rPr>
        <w:t xml:space="preserve"> w przypadku uniewinnienia lub skazania, wyłącznie </w:t>
      </w:r>
      <w:r w:rsidR="000E3B6F">
        <w:rPr>
          <w:rFonts w:eastAsia="Times New Roman"/>
          <w:lang w:val="pl-PL"/>
        </w:rPr>
        <w:t>z odniesieniem</w:t>
      </w:r>
      <w:r w:rsidRPr="00977945">
        <w:rPr>
          <w:rFonts w:eastAsia="Times New Roman"/>
          <w:lang w:val="pl-PL"/>
        </w:rPr>
        <w:t xml:space="preserve"> do prawa krajowego. Zauważa ponadto wspólny mianownik, który wyłania się z</w:t>
      </w:r>
      <w:r w:rsidR="000F46C5">
        <w:rPr>
          <w:rFonts w:eastAsia="Times New Roman"/>
          <w:lang w:val="pl-PL"/>
        </w:rPr>
        <w:t xml:space="preserve"> </w:t>
      </w:r>
      <w:r w:rsidRPr="00977945">
        <w:rPr>
          <w:rFonts w:eastAsia="Times New Roman"/>
          <w:lang w:val="pl-PL"/>
        </w:rPr>
        <w:t>całego orzecznictwa w tej dziedzinie: w każdym przypadku Trybunał sam ustalał, jakie było „prawomocne</w:t>
      </w:r>
      <w:r>
        <w:rPr>
          <w:rFonts w:eastAsia="Times New Roman"/>
          <w:lang w:val="pl-PL"/>
        </w:rPr>
        <w:t>"</w:t>
      </w:r>
      <w:r w:rsidRPr="00977945">
        <w:rPr>
          <w:rFonts w:eastAsia="Times New Roman"/>
          <w:lang w:val="pl-PL"/>
        </w:rPr>
        <w:t xml:space="preserve"> orzeczenie krajowe </w:t>
      </w:r>
      <w:r w:rsidR="000E3B6F">
        <w:rPr>
          <w:rFonts w:eastAsia="Times New Roman"/>
          <w:lang w:val="pl-PL"/>
        </w:rPr>
        <w:t>z odniesieniem</w:t>
      </w:r>
      <w:r w:rsidRPr="00977945">
        <w:rPr>
          <w:rFonts w:eastAsia="Times New Roman"/>
          <w:lang w:val="pl-PL"/>
        </w:rPr>
        <w:t xml:space="preserve"> do</w:t>
      </w:r>
      <w:r w:rsidR="001F5A65">
        <w:rPr>
          <w:rFonts w:eastAsia="Times New Roman"/>
          <w:lang w:val="pl-PL"/>
        </w:rPr>
        <w:t> </w:t>
      </w:r>
      <w:r w:rsidRPr="00977945">
        <w:rPr>
          <w:rFonts w:eastAsia="Times New Roman"/>
          <w:lang w:val="pl-PL"/>
        </w:rPr>
        <w:t>sprawozdania wyjaśniającego i różnych pojęć określonych w prawie krajowym.</w:t>
      </w:r>
    </w:p>
    <w:p w14:paraId="310080F8" w14:textId="1C3A1780" w:rsidR="009E53C0" w:rsidRPr="00977945" w:rsidRDefault="009E53C0" w:rsidP="000D30FE">
      <w:pPr>
        <w:pStyle w:val="ECHRPara"/>
        <w:rPr>
          <w:lang w:val="pl-PL"/>
        </w:rPr>
      </w:pPr>
      <w:r w:rsidRPr="00977945">
        <w:rPr>
          <w:lang w:val="pl-PL"/>
        </w:rPr>
        <w:t>109.</w:t>
      </w:r>
      <w:r>
        <w:rPr>
          <w:lang w:val="pl-PL"/>
        </w:rPr>
        <w:t xml:space="preserve"> </w:t>
      </w:r>
      <w:r w:rsidRPr="00977945">
        <w:rPr>
          <w:lang w:val="pl-PL"/>
        </w:rPr>
        <w:t>T</w:t>
      </w:r>
      <w:r w:rsidRPr="00977945">
        <w:rPr>
          <w:snapToGrid w:val="0"/>
          <w:lang w:val="pl-PL"/>
        </w:rPr>
        <w:t xml:space="preserve">rybunał przypomina, że konsekwentnie opiera się na treści sprawozdania wyjaśniającego do Protokołu nr 7 w celu określenia orzeczenia „prawomocnego” w danej sprawie (zob. paragraf </w:t>
      </w:r>
      <w:r w:rsidRPr="00977945">
        <w:rPr>
          <w:lang w:val="pl-PL"/>
        </w:rPr>
        <w:t>103</w:t>
      </w:r>
      <w:r w:rsidRPr="00977945">
        <w:rPr>
          <w:snapToGrid w:val="0"/>
          <w:lang w:val="pl-PL"/>
        </w:rPr>
        <w:t xml:space="preserve"> powyżej). </w:t>
      </w:r>
      <w:r w:rsidRPr="00977945">
        <w:rPr>
          <w:lang w:val="pl-PL"/>
        </w:rPr>
        <w:t>Lektura nie</w:t>
      </w:r>
      <w:r w:rsidR="001F5A65">
        <w:rPr>
          <w:lang w:val="pl-PL"/>
        </w:rPr>
        <w:t> </w:t>
      </w:r>
      <w:r w:rsidRPr="00977945">
        <w:rPr>
          <w:lang w:val="pl-PL"/>
        </w:rPr>
        <w:t>tylko art. 4 ust. 1 Protokołu nr 7, ale także pkt 27 sprawozdania wyjaśniającego wskazuje, że kolejne użycie wyrażeń „to samo państwo” i</w:t>
      </w:r>
      <w:r w:rsidR="001F5A65">
        <w:rPr>
          <w:lang w:val="pl-PL"/>
        </w:rPr>
        <w:t> </w:t>
      </w:r>
      <w:r w:rsidRPr="00977945">
        <w:rPr>
          <w:lang w:val="pl-PL"/>
        </w:rPr>
        <w:t>„to</w:t>
      </w:r>
      <w:r w:rsidR="001F5A65">
        <w:rPr>
          <w:lang w:val="pl-PL"/>
        </w:rPr>
        <w:t> </w:t>
      </w:r>
      <w:r w:rsidRPr="00977945">
        <w:rPr>
          <w:lang w:val="pl-PL"/>
        </w:rPr>
        <w:t>państwo” ma na celu ograniczenie stosowania artykułu wyłącznie do</w:t>
      </w:r>
      <w:r w:rsidR="001F5A65">
        <w:rPr>
          <w:lang w:val="pl-PL"/>
        </w:rPr>
        <w:t> </w:t>
      </w:r>
      <w:r w:rsidRPr="00977945">
        <w:rPr>
          <w:lang w:val="pl-PL"/>
        </w:rPr>
        <w:t>poziomu krajowego, a tym samym uniemożliwienie jakiegokolwiek zastosowania transgranicznego. Co do słowa „prawomocny”, w samym sprawozdaniu podano „definicję”, którą należy stosować przy określaniu, czy</w:t>
      </w:r>
      <w:r w:rsidR="001F5A65">
        <w:rPr>
          <w:lang w:val="pl-PL"/>
        </w:rPr>
        <w:t> </w:t>
      </w:r>
      <w:r w:rsidRPr="00977945">
        <w:rPr>
          <w:lang w:val="pl-PL"/>
        </w:rPr>
        <w:t>dane orzeczenie należy uznać za „prawomocne” w rozumieniu art. 4 Protokołu, odwołując się do konwencji międzynarodowej, a mianowicie do</w:t>
      </w:r>
      <w:r w:rsidR="00AE4551">
        <w:rPr>
          <w:lang w:val="pl-PL"/>
        </w:rPr>
        <w:t> </w:t>
      </w:r>
      <w:r w:rsidRPr="00977945">
        <w:rPr>
          <w:snapToGrid w:val="0"/>
          <w:lang w:val="pl-PL"/>
        </w:rPr>
        <w:t>Europejskiej konwencji o międzynarodowej ważności wyroków karnych</w:t>
      </w:r>
      <w:r w:rsidRPr="00977945">
        <w:rPr>
          <w:lang w:val="pl-PL"/>
        </w:rPr>
        <w:t xml:space="preserve"> (zob. pkt 22 i 29 sprawozdania wyjaśniającego, cytowanego w paragrafie 37</w:t>
      </w:r>
      <w:r w:rsidR="000F46C5">
        <w:rPr>
          <w:lang w:val="pl-PL"/>
        </w:rPr>
        <w:t xml:space="preserve"> </w:t>
      </w:r>
      <w:r w:rsidRPr="00977945">
        <w:rPr>
          <w:lang w:val="pl-PL"/>
        </w:rPr>
        <w:t>powyżej). W celu ustalenia, czy przedmiotowe orzeczenie jest „prawomocne”, Trybunał musi zatem sprawdzić, jak wskazano w</w:t>
      </w:r>
      <w:r w:rsidR="001F5A65">
        <w:rPr>
          <w:lang w:val="pl-PL"/>
        </w:rPr>
        <w:t> </w:t>
      </w:r>
      <w:r w:rsidRPr="00977945">
        <w:rPr>
          <w:lang w:val="pl-PL"/>
        </w:rPr>
        <w:t>sprawozdaniu wyjaśniającym, czy od orzeczenia przysługiwały zwy</w:t>
      </w:r>
      <w:r w:rsidR="00F93189">
        <w:rPr>
          <w:lang w:val="pl-PL"/>
        </w:rPr>
        <w:t>czajne</w:t>
      </w:r>
      <w:r w:rsidRPr="00977945">
        <w:rPr>
          <w:lang w:val="pl-PL"/>
        </w:rPr>
        <w:t xml:space="preserve"> środki odwoławcze lub czy strony dopuściły do upływu terminu, nie</w:t>
      </w:r>
      <w:r w:rsidR="001F5A65">
        <w:rPr>
          <w:lang w:val="pl-PL"/>
        </w:rPr>
        <w:t> </w:t>
      </w:r>
      <w:r w:rsidRPr="00977945">
        <w:rPr>
          <w:lang w:val="pl-PL"/>
        </w:rPr>
        <w:t>korzystając z tych środków.</w:t>
      </w:r>
    </w:p>
    <w:p w14:paraId="7B6074D5" w14:textId="75814A90" w:rsidR="009E53C0" w:rsidRPr="00977945" w:rsidRDefault="009E53C0" w:rsidP="000D30FE">
      <w:pPr>
        <w:pStyle w:val="ECHRPara"/>
        <w:rPr>
          <w:rFonts w:eastAsia="Times New Roman"/>
          <w:snapToGrid w:val="0"/>
          <w:lang w:val="pl-PL"/>
        </w:rPr>
      </w:pPr>
      <w:r w:rsidRPr="00977945">
        <w:rPr>
          <w:rFonts w:eastAsia="Times New Roman"/>
          <w:snapToGrid w:val="0"/>
          <w:lang w:val="pl-PL"/>
        </w:rPr>
        <w:t>110.</w:t>
      </w:r>
      <w:r>
        <w:rPr>
          <w:rFonts w:eastAsia="Times New Roman"/>
          <w:snapToGrid w:val="0"/>
          <w:lang w:val="pl-PL"/>
        </w:rPr>
        <w:t xml:space="preserve"> </w:t>
      </w:r>
      <w:r w:rsidRPr="00977945">
        <w:rPr>
          <w:rFonts w:eastAsia="Times New Roman"/>
          <w:snapToGrid w:val="0"/>
          <w:lang w:val="pl-PL"/>
        </w:rPr>
        <w:t xml:space="preserve">W związku z tym, w przypadkach gdy prawo krajowe wymagało zastosowania określonego środka odwoławczego, aby orzeczenie mogło zostać uznane za prawomocne, Trybunał dokonał rozróżnienia między „zwyczajnymi” i „nadzwyczajnymi” środkami odwoławczymi. Dokonując tego rozróżnienia, przy uwzględnieniu szczególnych okoliczności danej sprawy, Trybunał </w:t>
      </w:r>
      <w:r w:rsidR="00F93189">
        <w:rPr>
          <w:rFonts w:eastAsia="Times New Roman"/>
          <w:snapToGrid w:val="0"/>
          <w:lang w:val="pl-PL"/>
        </w:rPr>
        <w:t xml:space="preserve">brał </w:t>
      </w:r>
      <w:r w:rsidRPr="00977945">
        <w:rPr>
          <w:rFonts w:eastAsia="Times New Roman"/>
          <w:snapToGrid w:val="0"/>
          <w:lang w:val="pl-PL"/>
        </w:rPr>
        <w:t xml:space="preserve">pod uwagę takie czynniki, jak dostępność środka odwoławczego dla stron lub uznanie przyznane upoważnionym urzędnikom na mocy prawa krajowego w odniesieniu do korzystania ze środka odwoławczego (zob. np., </w:t>
      </w:r>
      <w:r w:rsidRPr="00977945">
        <w:rPr>
          <w:rFonts w:eastAsia="Times New Roman"/>
          <w:i/>
          <w:iCs/>
          <w:snapToGrid w:val="0"/>
          <w:lang w:val="pl-PL"/>
        </w:rPr>
        <w:t>Nikitin</w:t>
      </w:r>
      <w:r w:rsidRPr="00977945">
        <w:rPr>
          <w:rFonts w:eastAsia="Times New Roman"/>
          <w:snapToGrid w:val="0"/>
          <w:lang w:val="pl-PL"/>
        </w:rPr>
        <w:t xml:space="preserve">, </w:t>
      </w:r>
      <w:r w:rsidRPr="00977945">
        <w:rPr>
          <w:rFonts w:eastAsia="Times New Roman"/>
          <w:i/>
          <w:iCs/>
          <w:snapToGrid w:val="0"/>
          <w:lang w:val="pl-PL"/>
        </w:rPr>
        <w:t>op.</w:t>
      </w:r>
      <w:r>
        <w:rPr>
          <w:rFonts w:eastAsia="Times New Roman"/>
          <w:i/>
          <w:iCs/>
          <w:snapToGrid w:val="0"/>
          <w:lang w:val="pl-PL"/>
        </w:rPr>
        <w:t xml:space="preserve"> </w:t>
      </w:r>
      <w:r w:rsidRPr="00977945">
        <w:rPr>
          <w:rFonts w:eastAsia="Times New Roman"/>
          <w:i/>
          <w:iCs/>
          <w:snapToGrid w:val="0"/>
          <w:lang w:val="pl-PL"/>
        </w:rPr>
        <w:t>cit.</w:t>
      </w:r>
      <w:r w:rsidRPr="00977945">
        <w:rPr>
          <w:rFonts w:eastAsia="Times New Roman"/>
          <w:snapToGrid w:val="0"/>
          <w:lang w:val="pl-PL"/>
        </w:rPr>
        <w:t>, §</w:t>
      </w:r>
      <w:r w:rsidR="000F46C5">
        <w:rPr>
          <w:rFonts w:eastAsia="Times New Roman"/>
          <w:snapToGrid w:val="0"/>
          <w:lang w:val="pl-PL"/>
        </w:rPr>
        <w:t xml:space="preserve"> </w:t>
      </w:r>
      <w:r w:rsidRPr="00977945">
        <w:rPr>
          <w:rFonts w:eastAsia="Times New Roman"/>
          <w:snapToGrid w:val="0"/>
          <w:lang w:val="pl-PL"/>
        </w:rPr>
        <w:t xml:space="preserve">39). Potwierdzając potrzebę zapewnienia przestrzegania zasady pewności prawa i odnosząc się </w:t>
      </w:r>
      <w:r w:rsidRPr="00977945">
        <w:rPr>
          <w:rFonts w:eastAsia="Times New Roman"/>
          <w:snapToGrid w:val="0"/>
          <w:lang w:val="pl-PL"/>
        </w:rPr>
        <w:lastRenderedPageBreak/>
        <w:t>do</w:t>
      </w:r>
      <w:r w:rsidR="001F5A65">
        <w:rPr>
          <w:rFonts w:eastAsia="Times New Roman"/>
          <w:snapToGrid w:val="0"/>
          <w:lang w:val="pl-PL"/>
        </w:rPr>
        <w:t> </w:t>
      </w:r>
      <w:r w:rsidRPr="00977945">
        <w:rPr>
          <w:rFonts w:eastAsia="Times New Roman"/>
          <w:snapToGrid w:val="0"/>
          <w:lang w:val="pl-PL"/>
        </w:rPr>
        <w:t xml:space="preserve">trudności, </w:t>
      </w:r>
      <w:r w:rsidR="00F93189">
        <w:rPr>
          <w:rFonts w:eastAsia="Times New Roman"/>
          <w:snapToGrid w:val="0"/>
          <w:lang w:val="pl-PL"/>
        </w:rPr>
        <w:t xml:space="preserve">jakie </w:t>
      </w:r>
      <w:r w:rsidRPr="00977945">
        <w:rPr>
          <w:rFonts w:eastAsia="Times New Roman"/>
          <w:snapToGrid w:val="0"/>
          <w:lang w:val="pl-PL"/>
        </w:rPr>
        <w:t>mogłyby powstać na podstawie art. 4 Protokołu nr 7 w</w:t>
      </w:r>
      <w:r w:rsidR="001F5A65">
        <w:rPr>
          <w:rFonts w:eastAsia="Times New Roman"/>
          <w:snapToGrid w:val="0"/>
          <w:lang w:val="pl-PL"/>
        </w:rPr>
        <w:t> </w:t>
      </w:r>
      <w:r w:rsidRPr="00977945">
        <w:rPr>
          <w:rFonts w:eastAsia="Times New Roman"/>
          <w:snapToGrid w:val="0"/>
          <w:lang w:val="pl-PL"/>
        </w:rPr>
        <w:t>przypadku uchylenia orzeczenia sądowego w wyniku zastosowania „nadzwyczajnego” środka odwoławczego, Trybunał uwzględni</w:t>
      </w:r>
      <w:r w:rsidR="00F93189">
        <w:rPr>
          <w:rFonts w:eastAsia="Times New Roman"/>
          <w:snapToGrid w:val="0"/>
          <w:lang w:val="pl-PL"/>
        </w:rPr>
        <w:t>a</w:t>
      </w:r>
      <w:r w:rsidRPr="00977945">
        <w:rPr>
          <w:rFonts w:eastAsia="Times New Roman"/>
          <w:snapToGrid w:val="0"/>
          <w:lang w:val="pl-PL"/>
        </w:rPr>
        <w:t xml:space="preserve">ł jedynie „zwyczajne środki odwoławcze” przy określaniu „prawomocnego” charakteru orzeczenia w rozumieniu art. 4 Protokołu nr 7 (zob. </w:t>
      </w:r>
      <w:r w:rsidRPr="00977945">
        <w:rPr>
          <w:rFonts w:eastAsia="Times New Roman"/>
          <w:i/>
          <w:iCs/>
          <w:snapToGrid w:val="0"/>
          <w:lang w:val="pl-PL"/>
        </w:rPr>
        <w:t>Nikitin</w:t>
      </w:r>
      <w:r w:rsidRPr="00977945">
        <w:rPr>
          <w:rFonts w:eastAsia="Times New Roman"/>
          <w:snapToGrid w:val="0"/>
          <w:lang w:val="pl-PL"/>
        </w:rPr>
        <w:t xml:space="preserve">, </w:t>
      </w:r>
      <w:r w:rsidRPr="00977945">
        <w:rPr>
          <w:rFonts w:eastAsia="Times New Roman"/>
          <w:i/>
          <w:iCs/>
          <w:snapToGrid w:val="0"/>
          <w:lang w:val="pl-PL"/>
        </w:rPr>
        <w:t>op.</w:t>
      </w:r>
      <w:r w:rsidR="001F5A65">
        <w:rPr>
          <w:rFonts w:eastAsia="Times New Roman"/>
          <w:i/>
          <w:iCs/>
          <w:snapToGrid w:val="0"/>
          <w:lang w:val="pl-PL"/>
        </w:rPr>
        <w:t> </w:t>
      </w:r>
      <w:r w:rsidRPr="00977945">
        <w:rPr>
          <w:rFonts w:eastAsia="Times New Roman"/>
          <w:i/>
          <w:iCs/>
          <w:snapToGrid w:val="0"/>
          <w:lang w:val="pl-PL"/>
        </w:rPr>
        <w:t>cit.</w:t>
      </w:r>
      <w:r w:rsidRPr="00977945">
        <w:rPr>
          <w:rFonts w:eastAsia="Times New Roman"/>
          <w:snapToGrid w:val="0"/>
          <w:lang w:val="pl-PL"/>
        </w:rPr>
        <w:t xml:space="preserve">, § 39), w </w:t>
      </w:r>
      <w:r w:rsidRPr="00977945">
        <w:rPr>
          <w:rFonts w:eastAsia="Times New Roman"/>
          <w:i/>
          <w:iCs/>
          <w:snapToGrid w:val="0"/>
          <w:lang w:val="pl-PL"/>
        </w:rPr>
        <w:t>autonomicznym</w:t>
      </w:r>
      <w:r w:rsidRPr="00977945">
        <w:rPr>
          <w:rFonts w:eastAsia="Times New Roman"/>
          <w:snapToGrid w:val="0"/>
          <w:lang w:val="pl-PL"/>
        </w:rPr>
        <w:t xml:space="preserve"> znaczeniu tego terminu zawartym w</w:t>
      </w:r>
      <w:r w:rsidR="001F5A65">
        <w:rPr>
          <w:rFonts w:eastAsia="Times New Roman"/>
          <w:snapToGrid w:val="0"/>
          <w:lang w:val="pl-PL"/>
        </w:rPr>
        <w:t> </w:t>
      </w:r>
      <w:r w:rsidRPr="00977945">
        <w:rPr>
          <w:rFonts w:eastAsia="Times New Roman"/>
          <w:snapToGrid w:val="0"/>
          <w:lang w:val="pl-PL"/>
        </w:rPr>
        <w:t xml:space="preserve">Konwencji (zob. </w:t>
      </w:r>
      <w:r w:rsidRPr="00977945">
        <w:rPr>
          <w:rFonts w:eastAsia="Times New Roman"/>
          <w:i/>
          <w:iCs/>
          <w:snapToGrid w:val="0"/>
          <w:lang w:val="pl-PL"/>
        </w:rPr>
        <w:t>Sergey Zolotukhin</w:t>
      </w:r>
      <w:r w:rsidRPr="00977945">
        <w:rPr>
          <w:rFonts w:eastAsia="Times New Roman"/>
          <w:snapToGrid w:val="0"/>
          <w:lang w:val="pl-PL"/>
        </w:rPr>
        <w:t xml:space="preserve">, </w:t>
      </w:r>
      <w:r w:rsidRPr="00977945">
        <w:rPr>
          <w:rFonts w:eastAsia="Times New Roman"/>
          <w:i/>
          <w:iCs/>
          <w:snapToGrid w:val="0"/>
          <w:lang w:val="pl-PL"/>
        </w:rPr>
        <w:t>op.</w:t>
      </w:r>
      <w:r>
        <w:rPr>
          <w:rFonts w:eastAsia="Times New Roman"/>
          <w:i/>
          <w:iCs/>
          <w:snapToGrid w:val="0"/>
          <w:lang w:val="pl-PL"/>
        </w:rPr>
        <w:t xml:space="preserve"> </w:t>
      </w:r>
      <w:r w:rsidRPr="00977945">
        <w:rPr>
          <w:rFonts w:eastAsia="Times New Roman"/>
          <w:i/>
          <w:iCs/>
          <w:snapToGrid w:val="0"/>
          <w:lang w:val="pl-PL"/>
        </w:rPr>
        <w:t>cit.</w:t>
      </w:r>
      <w:r w:rsidRPr="00977945">
        <w:rPr>
          <w:rFonts w:eastAsia="Times New Roman"/>
          <w:snapToGrid w:val="0"/>
          <w:lang w:val="pl-PL"/>
        </w:rPr>
        <w:t>, §</w:t>
      </w:r>
      <w:r w:rsidR="000F46C5">
        <w:rPr>
          <w:rFonts w:eastAsia="Times New Roman"/>
          <w:snapToGrid w:val="0"/>
          <w:lang w:val="pl-PL"/>
        </w:rPr>
        <w:t xml:space="preserve"> </w:t>
      </w:r>
      <w:r w:rsidRPr="00977945">
        <w:rPr>
          <w:rFonts w:eastAsia="Times New Roman"/>
          <w:snapToGrid w:val="0"/>
          <w:lang w:val="pl-PL"/>
        </w:rPr>
        <w:t>109).</w:t>
      </w:r>
    </w:p>
    <w:p w14:paraId="3E6F038E" w14:textId="7C1670AB" w:rsidR="009E53C0" w:rsidRPr="00977945" w:rsidRDefault="009E53C0" w:rsidP="000D30FE">
      <w:pPr>
        <w:pStyle w:val="ECHRPara"/>
        <w:rPr>
          <w:rFonts w:eastAsia="Times New Roman"/>
          <w:snapToGrid w:val="0"/>
          <w:lang w:val="pl-PL"/>
        </w:rPr>
      </w:pPr>
      <w:r w:rsidRPr="00977945">
        <w:rPr>
          <w:snapToGrid w:val="0"/>
          <w:lang w:val="pl-PL"/>
        </w:rPr>
        <w:t>111.</w:t>
      </w:r>
      <w:r>
        <w:rPr>
          <w:snapToGrid w:val="0"/>
          <w:lang w:val="pl-PL"/>
        </w:rPr>
        <w:t xml:space="preserve"> </w:t>
      </w:r>
      <w:r w:rsidRPr="00977945">
        <w:rPr>
          <w:snapToGrid w:val="0"/>
          <w:lang w:val="pl-PL"/>
        </w:rPr>
        <w:t xml:space="preserve">Trybunał pragnie zatem podkreślić wagę, jaką przywiązywał ostatnio, w sprawie </w:t>
      </w:r>
      <w:r w:rsidRPr="00977945">
        <w:rPr>
          <w:i/>
          <w:iCs/>
          <w:snapToGrid w:val="0"/>
          <w:lang w:val="pl-PL"/>
        </w:rPr>
        <w:t>A i B przeciwko Norwegii</w:t>
      </w:r>
      <w:r w:rsidRPr="00977945">
        <w:rPr>
          <w:snapToGrid w:val="0"/>
          <w:lang w:val="pl-PL"/>
        </w:rPr>
        <w:t xml:space="preserve"> (</w:t>
      </w:r>
      <w:r w:rsidRPr="00977945">
        <w:rPr>
          <w:i/>
          <w:iCs/>
          <w:snapToGrid w:val="0"/>
          <w:lang w:val="pl-PL"/>
        </w:rPr>
        <w:t>op.</w:t>
      </w:r>
      <w:r>
        <w:rPr>
          <w:i/>
          <w:iCs/>
          <w:snapToGrid w:val="0"/>
          <w:lang w:val="pl-PL"/>
        </w:rPr>
        <w:t xml:space="preserve"> </w:t>
      </w:r>
      <w:r w:rsidRPr="00977945">
        <w:rPr>
          <w:i/>
          <w:iCs/>
          <w:snapToGrid w:val="0"/>
          <w:lang w:val="pl-PL"/>
        </w:rPr>
        <w:t>cit.</w:t>
      </w:r>
      <w:r w:rsidRPr="00977945">
        <w:rPr>
          <w:snapToGrid w:val="0"/>
          <w:lang w:val="pl-PL"/>
        </w:rPr>
        <w:t>), do kryterium przewidywalności zastosowania prawa jako całości, jako warunku uznania, że „podwójne” postępowanie stanowi część</w:t>
      </w:r>
      <w:r w:rsidRPr="00977945">
        <w:rPr>
          <w:lang w:val="pl-PL"/>
        </w:rPr>
        <w:t xml:space="preserve"> zintegrowanego systemu sankcji w ramach prawa krajowego bez powodowania jakiegokolwiek powielania postępowań</w:t>
      </w:r>
      <w:r w:rsidRPr="00977945">
        <w:rPr>
          <w:snapToGrid w:val="0"/>
          <w:lang w:val="pl-PL"/>
        </w:rPr>
        <w:t xml:space="preserve"> („bis”) w rozumieniu art. 4 Protokołu nr 7 (tamże, §§ 122, 130, 132, 146 i 152). Kryterium to jest również całkowicie adekwatne do</w:t>
      </w:r>
      <w:r w:rsidR="001F5A65">
        <w:rPr>
          <w:snapToGrid w:val="0"/>
          <w:lang w:val="pl-PL"/>
        </w:rPr>
        <w:t> </w:t>
      </w:r>
      <w:r w:rsidRPr="00977945">
        <w:rPr>
          <w:snapToGrid w:val="0"/>
          <w:lang w:val="pl-PL"/>
        </w:rPr>
        <w:t>„praw</w:t>
      </w:r>
      <w:r w:rsidR="00672218">
        <w:rPr>
          <w:snapToGrid w:val="0"/>
          <w:lang w:val="pl-PL"/>
        </w:rPr>
        <w:t>omocnego” charakteru orzeczenia</w:t>
      </w:r>
      <w:r w:rsidRPr="00977945">
        <w:rPr>
          <w:snapToGrid w:val="0"/>
          <w:lang w:val="pl-PL"/>
        </w:rPr>
        <w:t xml:space="preserve"> jako warunku </w:t>
      </w:r>
      <w:r w:rsidR="00672218">
        <w:rPr>
          <w:snapToGrid w:val="0"/>
          <w:lang w:val="pl-PL"/>
        </w:rPr>
        <w:t>uruchamiającego</w:t>
      </w:r>
      <w:r w:rsidRPr="00977945">
        <w:rPr>
          <w:snapToGrid w:val="0"/>
          <w:lang w:val="pl-PL"/>
        </w:rPr>
        <w:t xml:space="preserve"> stosowani</w:t>
      </w:r>
      <w:r w:rsidR="00672218">
        <w:rPr>
          <w:snapToGrid w:val="0"/>
          <w:lang w:val="pl-PL"/>
        </w:rPr>
        <w:t>e</w:t>
      </w:r>
      <w:r w:rsidRPr="00977945">
        <w:rPr>
          <w:snapToGrid w:val="0"/>
          <w:lang w:val="pl-PL"/>
        </w:rPr>
        <w:t xml:space="preserve"> zabezpieczenia przewidzianego w tym artykule.</w:t>
      </w:r>
      <w:bookmarkStart w:id="75" w:name="P118"/>
      <w:bookmarkStart w:id="76" w:name="P112N"/>
      <w:r w:rsidRPr="00977945">
        <w:rPr>
          <w:snapToGrid w:val="0"/>
          <w:lang w:val="pl-PL"/>
        </w:rPr>
        <w:t>.</w:t>
      </w:r>
    </w:p>
    <w:p w14:paraId="43E83DAC" w14:textId="7094D8C4" w:rsidR="009E53C0" w:rsidRPr="00977945" w:rsidRDefault="009E53C0" w:rsidP="006634A7">
      <w:pPr>
        <w:pStyle w:val="ECHRPara"/>
        <w:tabs>
          <w:tab w:val="left" w:pos="1843"/>
        </w:tabs>
        <w:rPr>
          <w:i/>
          <w:iCs/>
          <w:lang w:val="pl-PL"/>
        </w:rPr>
      </w:pPr>
      <w:r w:rsidRPr="00977945">
        <w:rPr>
          <w:lang w:val="pl-PL"/>
        </w:rPr>
        <w:t>112</w:t>
      </w:r>
      <w:bookmarkEnd w:id="75"/>
      <w:bookmarkEnd w:id="76"/>
      <w:r w:rsidRPr="00977945">
        <w:rPr>
          <w:lang w:val="pl-PL"/>
        </w:rPr>
        <w:t>.</w:t>
      </w:r>
      <w:r>
        <w:rPr>
          <w:lang w:val="pl-PL"/>
        </w:rPr>
        <w:t xml:space="preserve"> </w:t>
      </w:r>
      <w:r w:rsidRPr="00977945">
        <w:rPr>
          <w:lang w:val="pl-PL"/>
        </w:rPr>
        <w:t>W tym kontekście Trybunał jest zobowiązany zauważyć, że</w:t>
      </w:r>
      <w:r w:rsidR="000F46C5">
        <w:rPr>
          <w:lang w:val="pl-PL"/>
        </w:rPr>
        <w:t xml:space="preserve"> </w:t>
      </w:r>
      <w:r w:rsidRPr="00977945">
        <w:rPr>
          <w:lang w:val="pl-PL"/>
        </w:rPr>
        <w:t>zgodnie z jego utrwalonym orzecznictwem wymóg „zgodności z</w:t>
      </w:r>
      <w:r w:rsidR="000F46C5">
        <w:rPr>
          <w:lang w:val="pl-PL"/>
        </w:rPr>
        <w:t xml:space="preserve"> </w:t>
      </w:r>
      <w:r w:rsidRPr="00977945">
        <w:rPr>
          <w:lang w:val="pl-PL"/>
        </w:rPr>
        <w:t xml:space="preserve">prawem” określony w innych postanowieniach Konwencji – w tym wyrażenia </w:t>
      </w:r>
      <w:r w:rsidRPr="006634A7">
        <w:rPr>
          <w:lang w:val="pl-PL"/>
        </w:rPr>
        <w:t>„przewidziane przez</w:t>
      </w:r>
      <w:r w:rsidR="00672218" w:rsidRPr="006634A7">
        <w:rPr>
          <w:lang w:val="pl-PL"/>
        </w:rPr>
        <w:t xml:space="preserve"> ustawę</w:t>
      </w:r>
      <w:r w:rsidRPr="006634A7">
        <w:rPr>
          <w:lang w:val="pl-PL"/>
        </w:rPr>
        <w:t>” występujące w drugim akapicie art. 8–11 Kon</w:t>
      </w:r>
      <w:r w:rsidRPr="00977945">
        <w:rPr>
          <w:lang w:val="pl-PL"/>
        </w:rPr>
        <w:t>wencji oraz w</w:t>
      </w:r>
      <w:r w:rsidR="001F5A65">
        <w:rPr>
          <w:lang w:val="pl-PL"/>
        </w:rPr>
        <w:t> </w:t>
      </w:r>
      <w:r w:rsidRPr="00977945">
        <w:rPr>
          <w:lang w:val="pl-PL"/>
        </w:rPr>
        <w:t>art. 1 Protokołu nr 1, a także wyrażenie „</w:t>
      </w:r>
      <w:r w:rsidR="00446A47">
        <w:rPr>
          <w:lang w:val="pl-PL"/>
        </w:rPr>
        <w:t>według prawa</w:t>
      </w:r>
      <w:r w:rsidRPr="00977945">
        <w:rPr>
          <w:lang w:val="pl-PL"/>
        </w:rPr>
        <w:t xml:space="preserve"> </w:t>
      </w:r>
      <w:r w:rsidR="00446A47">
        <w:rPr>
          <w:i/>
          <w:lang w:val="pl-PL"/>
        </w:rPr>
        <w:t xml:space="preserve">wewnętrznego </w:t>
      </w:r>
      <w:r w:rsidRPr="00977945">
        <w:rPr>
          <w:lang w:val="pl-PL"/>
        </w:rPr>
        <w:t>[podkreś</w:t>
      </w:r>
      <w:r w:rsidR="00446A47">
        <w:rPr>
          <w:lang w:val="pl-PL"/>
        </w:rPr>
        <w:t>lenie dodane] lub międzynarodowego</w:t>
      </w:r>
      <w:r w:rsidRPr="00977945">
        <w:rPr>
          <w:lang w:val="pl-PL"/>
        </w:rPr>
        <w:t>” zawarte w art. 7 – dotyczy nie tylko istnienia podstawy prawnej w prawie krajowym, ale także wymogu jakościowego nierozerwalnie związanego z autonomicznym pojęciem zgodności z prawem; pojęcie to obejmuje warunki dotyczące dostępności i</w:t>
      </w:r>
      <w:r w:rsidR="001F5A65">
        <w:rPr>
          <w:lang w:val="pl-PL"/>
        </w:rPr>
        <w:t> </w:t>
      </w:r>
      <w:r w:rsidRPr="00977945">
        <w:rPr>
          <w:lang w:val="pl-PL"/>
        </w:rPr>
        <w:t xml:space="preserve">przewidywalności „prawa”, jak również wymóg zapewnienia środka ochrony przed arbitralną ingerencją władz publicznych w prawa chronione przez Konwencję (zob. np. </w:t>
      </w:r>
      <w:r w:rsidRPr="00977945">
        <w:rPr>
          <w:i/>
          <w:iCs/>
          <w:lang w:val="pl-PL"/>
        </w:rPr>
        <w:t xml:space="preserve">Rohlena przeciwko Republice Czeskiej </w:t>
      </w:r>
      <w:r w:rsidRPr="00977945">
        <w:rPr>
          <w:lang w:val="pl-PL"/>
        </w:rPr>
        <w:t>[WI]</w:t>
      </w:r>
      <w:r w:rsidRPr="00977945">
        <w:rPr>
          <w:snapToGrid w:val="0"/>
          <w:lang w:val="pl-PL"/>
        </w:rPr>
        <w:t>, nr</w:t>
      </w:r>
      <w:r w:rsidR="001F5A65">
        <w:rPr>
          <w:snapToGrid w:val="0"/>
          <w:lang w:val="pl-PL"/>
        </w:rPr>
        <w:t> </w:t>
      </w:r>
      <w:r w:rsidRPr="00977945">
        <w:rPr>
          <w:snapToGrid w:val="0"/>
          <w:lang w:val="pl-PL"/>
        </w:rPr>
        <w:t xml:space="preserve">59552/08, </w:t>
      </w:r>
      <w:r w:rsidRPr="00977945">
        <w:rPr>
          <w:lang w:val="pl-PL"/>
        </w:rPr>
        <w:t>§§</w:t>
      </w:r>
      <w:r w:rsidR="000F46C5">
        <w:rPr>
          <w:lang w:val="pl-PL"/>
        </w:rPr>
        <w:t xml:space="preserve"> </w:t>
      </w:r>
      <w:r w:rsidRPr="00977945">
        <w:rPr>
          <w:lang w:val="pl-PL"/>
        </w:rPr>
        <w:t>50 i 64</w:t>
      </w:r>
      <w:r w:rsidRPr="00977945">
        <w:rPr>
          <w:snapToGrid w:val="0"/>
          <w:lang w:val="pl-PL"/>
        </w:rPr>
        <w:t xml:space="preserve">, </w:t>
      </w:r>
      <w:r w:rsidR="000F46C5">
        <w:rPr>
          <w:snapToGrid w:val="0"/>
          <w:lang w:val="pl-PL"/>
        </w:rPr>
        <w:t>ETPC</w:t>
      </w:r>
      <w:r w:rsidRPr="00977945">
        <w:rPr>
          <w:snapToGrid w:val="0"/>
          <w:lang w:val="pl-PL"/>
        </w:rPr>
        <w:t xml:space="preserve"> 2015,</w:t>
      </w:r>
      <w:r w:rsidRPr="00977945">
        <w:rPr>
          <w:lang w:val="pl-PL"/>
        </w:rPr>
        <w:t xml:space="preserve"> w odniesieniu do art.</w:t>
      </w:r>
      <w:r w:rsidR="000F46C5">
        <w:rPr>
          <w:lang w:val="pl-PL"/>
        </w:rPr>
        <w:t xml:space="preserve"> </w:t>
      </w:r>
      <w:r w:rsidRPr="00977945">
        <w:rPr>
          <w:lang w:val="pl-PL"/>
        </w:rPr>
        <w:t>7;</w:t>
      </w:r>
      <w:r w:rsidRPr="00977945">
        <w:rPr>
          <w:snapToGrid w:val="0"/>
          <w:lang w:val="pl-PL"/>
        </w:rPr>
        <w:t xml:space="preserve"> </w:t>
      </w:r>
      <w:r w:rsidRPr="00977945">
        <w:rPr>
          <w:i/>
          <w:iCs/>
          <w:lang w:val="pl-PL"/>
        </w:rPr>
        <w:t>Rotaru</w:t>
      </w:r>
      <w:r w:rsidR="001F5A65">
        <w:rPr>
          <w:i/>
          <w:iCs/>
          <w:lang w:val="pl-PL"/>
        </w:rPr>
        <w:t> </w:t>
      </w:r>
      <w:r w:rsidRPr="00977945">
        <w:rPr>
          <w:i/>
          <w:iCs/>
          <w:lang w:val="pl-PL"/>
        </w:rPr>
        <w:t>przeciwko Rumunii</w:t>
      </w:r>
      <w:r w:rsidRPr="00977945">
        <w:rPr>
          <w:lang w:val="pl-PL"/>
        </w:rPr>
        <w:t xml:space="preserve"> [WI], nr</w:t>
      </w:r>
      <w:r w:rsidR="000F46C5">
        <w:rPr>
          <w:lang w:val="pl-PL"/>
        </w:rPr>
        <w:t xml:space="preserve"> </w:t>
      </w:r>
      <w:r w:rsidRPr="00977945">
        <w:rPr>
          <w:lang w:val="pl-PL"/>
        </w:rPr>
        <w:t>28341/95, §§</w:t>
      </w:r>
      <w:r w:rsidR="000F46C5">
        <w:rPr>
          <w:lang w:val="pl-PL"/>
        </w:rPr>
        <w:t xml:space="preserve"> </w:t>
      </w:r>
      <w:r w:rsidRPr="00977945">
        <w:rPr>
          <w:lang w:val="pl-PL"/>
        </w:rPr>
        <w:t xml:space="preserve">52–56, </w:t>
      </w:r>
      <w:r w:rsidR="000F46C5">
        <w:rPr>
          <w:lang w:val="pl-PL"/>
        </w:rPr>
        <w:t>ETPC</w:t>
      </w:r>
      <w:r w:rsidRPr="00977945">
        <w:rPr>
          <w:lang w:val="pl-PL"/>
        </w:rPr>
        <w:t xml:space="preserve"> 2000</w:t>
      </w:r>
      <w:r w:rsidRPr="00977945">
        <w:rPr>
          <w:lang w:val="pl-PL"/>
        </w:rPr>
        <w:noBreakHyphen/>
        <w:t xml:space="preserve">V; </w:t>
      </w:r>
      <w:r w:rsidRPr="00977945">
        <w:rPr>
          <w:i/>
          <w:iCs/>
          <w:lang w:val="pl-PL"/>
        </w:rPr>
        <w:t>Bernh Larsen Holding AS i Inni przeciwko Norwegii</w:t>
      </w:r>
      <w:r w:rsidRPr="00977945">
        <w:rPr>
          <w:lang w:val="pl-PL"/>
        </w:rPr>
        <w:t>, nr</w:t>
      </w:r>
      <w:r w:rsidR="000F46C5">
        <w:rPr>
          <w:lang w:val="pl-PL"/>
        </w:rPr>
        <w:t xml:space="preserve"> </w:t>
      </w:r>
      <w:r w:rsidRPr="00977945">
        <w:rPr>
          <w:lang w:val="pl-PL"/>
        </w:rPr>
        <w:t>24117/08</w:t>
      </w:r>
      <w:r w:rsidRPr="00977945">
        <w:rPr>
          <w:snapToGrid w:val="0"/>
          <w:lang w:val="pl-PL"/>
        </w:rPr>
        <w:t>, §§ 123–24 i 134, 14</w:t>
      </w:r>
      <w:r w:rsidR="000F46C5">
        <w:rPr>
          <w:snapToGrid w:val="0"/>
          <w:lang w:val="pl-PL"/>
        </w:rPr>
        <w:t xml:space="preserve"> </w:t>
      </w:r>
      <w:r w:rsidRPr="00977945">
        <w:rPr>
          <w:snapToGrid w:val="0"/>
          <w:lang w:val="pl-PL"/>
        </w:rPr>
        <w:t xml:space="preserve">marca 2013 r.; oraz </w:t>
      </w:r>
      <w:r w:rsidRPr="00977945">
        <w:rPr>
          <w:i/>
          <w:iCs/>
          <w:lang w:val="pl-PL"/>
        </w:rPr>
        <w:t>Roman Zakharov</w:t>
      </w:r>
      <w:r w:rsidRPr="00977945">
        <w:rPr>
          <w:lang w:val="pl-PL"/>
        </w:rPr>
        <w:t xml:space="preserve"> </w:t>
      </w:r>
      <w:r w:rsidRPr="00977945">
        <w:rPr>
          <w:i/>
          <w:iCs/>
          <w:lang w:val="pl-PL"/>
        </w:rPr>
        <w:t xml:space="preserve">przeciwko Rosji </w:t>
      </w:r>
      <w:r w:rsidRPr="00977945">
        <w:rPr>
          <w:lang w:val="pl-PL"/>
        </w:rPr>
        <w:t>[WI], nr</w:t>
      </w:r>
      <w:r w:rsidR="001F5A65">
        <w:rPr>
          <w:lang w:val="pl-PL"/>
        </w:rPr>
        <w:t> </w:t>
      </w:r>
      <w:r w:rsidRPr="00977945">
        <w:rPr>
          <w:lang w:val="pl-PL"/>
        </w:rPr>
        <w:t xml:space="preserve">47143/06, §§ 228–229, </w:t>
      </w:r>
      <w:r w:rsidR="000F46C5">
        <w:rPr>
          <w:lang w:val="pl-PL"/>
        </w:rPr>
        <w:t>ETPC</w:t>
      </w:r>
      <w:r w:rsidRPr="00977945">
        <w:rPr>
          <w:lang w:val="pl-PL"/>
        </w:rPr>
        <w:t xml:space="preserve"> 2015, w odniesieniu do art. 8; </w:t>
      </w:r>
      <w:r w:rsidRPr="00977945">
        <w:rPr>
          <w:i/>
          <w:iCs/>
          <w:lang w:val="pl-PL"/>
        </w:rPr>
        <w:t xml:space="preserve">Centro Europa 7 S.r.l. i Di Stefano przeciwko Włochom </w:t>
      </w:r>
      <w:r w:rsidRPr="00977945">
        <w:rPr>
          <w:lang w:val="pl-PL"/>
        </w:rPr>
        <w:t>[WI], nr</w:t>
      </w:r>
      <w:r w:rsidR="000F46C5">
        <w:rPr>
          <w:lang w:val="pl-PL"/>
        </w:rPr>
        <w:t xml:space="preserve"> </w:t>
      </w:r>
      <w:r w:rsidRPr="00977945">
        <w:rPr>
          <w:lang w:val="pl-PL"/>
        </w:rPr>
        <w:t>38433/09, §</w:t>
      </w:r>
      <w:r w:rsidR="000F46C5">
        <w:rPr>
          <w:lang w:val="pl-PL"/>
        </w:rPr>
        <w:t xml:space="preserve"> </w:t>
      </w:r>
      <w:r w:rsidRPr="00977945">
        <w:rPr>
          <w:lang w:val="pl-PL"/>
        </w:rPr>
        <w:t xml:space="preserve">143, </w:t>
      </w:r>
      <w:r w:rsidR="000F46C5">
        <w:rPr>
          <w:lang w:val="pl-PL"/>
        </w:rPr>
        <w:t>ETPC</w:t>
      </w:r>
      <w:r w:rsidRPr="00977945">
        <w:rPr>
          <w:snapToGrid w:val="0"/>
          <w:lang w:val="pl-PL"/>
        </w:rPr>
        <w:t xml:space="preserve"> 2012,</w:t>
      </w:r>
      <w:r w:rsidRPr="00977945">
        <w:rPr>
          <w:lang w:val="pl-PL"/>
        </w:rPr>
        <w:t xml:space="preserve"> w odniesieniu do art. 10; </w:t>
      </w:r>
      <w:r w:rsidRPr="00977945">
        <w:rPr>
          <w:i/>
          <w:iCs/>
          <w:lang w:val="pl-PL"/>
        </w:rPr>
        <w:t>Navalnyy przeciwko Rosji</w:t>
      </w:r>
      <w:r w:rsidRPr="00977945">
        <w:rPr>
          <w:lang w:val="pl-PL"/>
        </w:rPr>
        <w:t xml:space="preserve"> [WI], nr</w:t>
      </w:r>
      <w:r w:rsidR="001F5A65">
        <w:rPr>
          <w:lang w:val="pl-PL"/>
        </w:rPr>
        <w:t> </w:t>
      </w:r>
      <w:r w:rsidRPr="00977945">
        <w:rPr>
          <w:lang w:val="pl-PL"/>
        </w:rPr>
        <w:t>29580/12 i 4 inne, §§</w:t>
      </w:r>
      <w:r w:rsidR="000F46C5">
        <w:rPr>
          <w:lang w:val="pl-PL"/>
        </w:rPr>
        <w:t xml:space="preserve"> </w:t>
      </w:r>
      <w:r w:rsidRPr="00977945">
        <w:rPr>
          <w:lang w:val="pl-PL"/>
        </w:rPr>
        <w:t>114–15 i 118, 15 listopada 2018 r., w</w:t>
      </w:r>
      <w:r w:rsidR="000F46C5">
        <w:rPr>
          <w:lang w:val="pl-PL"/>
        </w:rPr>
        <w:t xml:space="preserve"> </w:t>
      </w:r>
      <w:r w:rsidRPr="00977945">
        <w:rPr>
          <w:lang w:val="pl-PL"/>
        </w:rPr>
        <w:t>odniesieniu do</w:t>
      </w:r>
      <w:r w:rsidR="001F5A65">
        <w:rPr>
          <w:lang w:val="pl-PL"/>
        </w:rPr>
        <w:t> </w:t>
      </w:r>
      <w:r w:rsidRPr="00977945">
        <w:rPr>
          <w:lang w:val="pl-PL"/>
        </w:rPr>
        <w:t xml:space="preserve">art. 11; oraz </w:t>
      </w:r>
      <w:r w:rsidRPr="00977945">
        <w:rPr>
          <w:i/>
          <w:iCs/>
          <w:lang w:val="pl-PL"/>
        </w:rPr>
        <w:t xml:space="preserve">Lekić przeciwko Słowenii </w:t>
      </w:r>
      <w:r w:rsidRPr="00977945">
        <w:rPr>
          <w:lang w:val="pl-PL"/>
        </w:rPr>
        <w:t>[WI], nr 36480/07, §</w:t>
      </w:r>
      <w:r w:rsidR="000F46C5">
        <w:rPr>
          <w:lang w:val="pl-PL"/>
        </w:rPr>
        <w:t xml:space="preserve"> </w:t>
      </w:r>
      <w:r w:rsidRPr="00977945">
        <w:rPr>
          <w:lang w:val="pl-PL"/>
        </w:rPr>
        <w:t>95, 11</w:t>
      </w:r>
      <w:r w:rsidR="000F46C5">
        <w:rPr>
          <w:lang w:val="pl-PL"/>
        </w:rPr>
        <w:t xml:space="preserve"> </w:t>
      </w:r>
      <w:r w:rsidRPr="00977945">
        <w:rPr>
          <w:lang w:val="pl-PL"/>
        </w:rPr>
        <w:t>grudnia 2018 r., w odniesieniu do art. 1 Protokołu nr 1; ponadto w</w:t>
      </w:r>
      <w:r w:rsidR="000F46C5">
        <w:rPr>
          <w:lang w:val="pl-PL"/>
        </w:rPr>
        <w:t xml:space="preserve"> </w:t>
      </w:r>
      <w:r w:rsidRPr="00977945">
        <w:rPr>
          <w:lang w:val="pl-PL"/>
        </w:rPr>
        <w:t>odniesieniu do</w:t>
      </w:r>
      <w:r w:rsidR="001F5A65">
        <w:rPr>
          <w:lang w:val="pl-PL"/>
        </w:rPr>
        <w:t> </w:t>
      </w:r>
      <w:r w:rsidRPr="00977945">
        <w:rPr>
          <w:lang w:val="pl-PL"/>
        </w:rPr>
        <w:t>art.</w:t>
      </w:r>
      <w:r w:rsidR="001F5A65">
        <w:rPr>
          <w:lang w:val="pl-PL"/>
        </w:rPr>
        <w:t> </w:t>
      </w:r>
      <w:r w:rsidRPr="00977945">
        <w:rPr>
          <w:lang w:val="pl-PL"/>
        </w:rPr>
        <w:t>5 ust.</w:t>
      </w:r>
      <w:r w:rsidR="000F46C5">
        <w:rPr>
          <w:lang w:val="pl-PL"/>
        </w:rPr>
        <w:t xml:space="preserve"> </w:t>
      </w:r>
      <w:r w:rsidRPr="00977945">
        <w:rPr>
          <w:lang w:val="pl-PL"/>
        </w:rPr>
        <w:t xml:space="preserve">1 Konwencji, zob. </w:t>
      </w:r>
      <w:r w:rsidRPr="00977945">
        <w:rPr>
          <w:i/>
          <w:iCs/>
          <w:lang w:val="pl-PL"/>
        </w:rPr>
        <w:t>S., V. i A. przeciwko Danii</w:t>
      </w:r>
      <w:r w:rsidRPr="00977945">
        <w:rPr>
          <w:lang w:val="pl-PL"/>
        </w:rPr>
        <w:t xml:space="preserve"> [WI], nr</w:t>
      </w:r>
      <w:r w:rsidR="000F46C5">
        <w:rPr>
          <w:lang w:val="pl-PL"/>
        </w:rPr>
        <w:t xml:space="preserve"> </w:t>
      </w:r>
      <w:r w:rsidRPr="00977945">
        <w:rPr>
          <w:lang w:val="pl-PL"/>
        </w:rPr>
        <w:t>35553/12 i 2 inne, § 74, 22</w:t>
      </w:r>
      <w:r w:rsidR="000F46C5">
        <w:rPr>
          <w:lang w:val="pl-PL"/>
        </w:rPr>
        <w:t xml:space="preserve"> </w:t>
      </w:r>
      <w:r w:rsidRPr="00977945">
        <w:rPr>
          <w:lang w:val="pl-PL"/>
        </w:rPr>
        <w:t xml:space="preserve">października 2018 r., oraz </w:t>
      </w:r>
      <w:r w:rsidRPr="00977945">
        <w:rPr>
          <w:i/>
          <w:iCs/>
          <w:lang w:val="pl-PL"/>
        </w:rPr>
        <w:t>Hilda Hafsteinsdóttir przeciwko Islandii,</w:t>
      </w:r>
      <w:r w:rsidRPr="00977945">
        <w:rPr>
          <w:lang w:val="pl-PL"/>
        </w:rPr>
        <w:t xml:space="preserve"> nr</w:t>
      </w:r>
      <w:r w:rsidR="000F46C5">
        <w:rPr>
          <w:vertAlign w:val="superscript"/>
          <w:lang w:val="pl-PL"/>
        </w:rPr>
        <w:t xml:space="preserve"> </w:t>
      </w:r>
      <w:r w:rsidRPr="00977945">
        <w:rPr>
          <w:lang w:val="pl-PL"/>
        </w:rPr>
        <w:t>40905/98, § 51, 8 czerwca 2004 r.).</w:t>
      </w:r>
    </w:p>
    <w:p w14:paraId="3F92B638" w14:textId="194CC6ED" w:rsidR="009E53C0" w:rsidRPr="00977945" w:rsidRDefault="009E53C0" w:rsidP="000D30FE">
      <w:pPr>
        <w:pStyle w:val="ECHRPara"/>
        <w:rPr>
          <w:lang w:val="pl-PL"/>
        </w:rPr>
      </w:pPr>
      <w:r w:rsidRPr="00977945">
        <w:rPr>
          <w:lang w:val="pl-PL"/>
        </w:rPr>
        <w:t>113.</w:t>
      </w:r>
      <w:r>
        <w:rPr>
          <w:lang w:val="pl-PL"/>
        </w:rPr>
        <w:t xml:space="preserve"> </w:t>
      </w:r>
      <w:r w:rsidRPr="00977945">
        <w:rPr>
          <w:lang w:val="pl-PL"/>
        </w:rPr>
        <w:t>Jak zauważono powyżej, Konwencja musi być interpretowana jako całość, w taki sposób, aby promować wewnętrzną spójność i harmonię między różnymi jej postanowieniami (zob.</w:t>
      </w:r>
      <w:r w:rsidR="000F46C5">
        <w:rPr>
          <w:lang w:val="pl-PL"/>
        </w:rPr>
        <w:t xml:space="preserve"> </w:t>
      </w:r>
      <w:r w:rsidRPr="00977945">
        <w:rPr>
          <w:i/>
          <w:iCs/>
          <w:lang w:val="pl-PL"/>
        </w:rPr>
        <w:t>Klass i Inni przeciwko Niemcom</w:t>
      </w:r>
      <w:r w:rsidRPr="00977945">
        <w:rPr>
          <w:lang w:val="pl-PL"/>
        </w:rPr>
        <w:t xml:space="preserve">, </w:t>
      </w:r>
      <w:r w:rsidRPr="00977945">
        <w:rPr>
          <w:lang w:val="pl-PL"/>
        </w:rPr>
        <w:lastRenderedPageBreak/>
        <w:t>6</w:t>
      </w:r>
      <w:r w:rsidR="000F46C5">
        <w:rPr>
          <w:lang w:val="pl-PL"/>
        </w:rPr>
        <w:t xml:space="preserve"> </w:t>
      </w:r>
      <w:r w:rsidRPr="00977945">
        <w:rPr>
          <w:lang w:val="pl-PL"/>
        </w:rPr>
        <w:t>września</w:t>
      </w:r>
      <w:r w:rsidR="000F46C5">
        <w:rPr>
          <w:lang w:val="pl-PL"/>
        </w:rPr>
        <w:t xml:space="preserve"> </w:t>
      </w:r>
      <w:r w:rsidRPr="00977945">
        <w:rPr>
          <w:lang w:val="pl-PL"/>
        </w:rPr>
        <w:t>1978</w:t>
      </w:r>
      <w:r w:rsidR="000F46C5">
        <w:rPr>
          <w:lang w:val="pl-PL"/>
        </w:rPr>
        <w:t xml:space="preserve"> </w:t>
      </w:r>
      <w:r w:rsidRPr="00977945">
        <w:rPr>
          <w:lang w:val="pl-PL"/>
        </w:rPr>
        <w:t>r., §</w:t>
      </w:r>
      <w:r w:rsidR="000F46C5">
        <w:rPr>
          <w:lang w:val="pl-PL"/>
        </w:rPr>
        <w:t xml:space="preserve"> </w:t>
      </w:r>
      <w:r w:rsidRPr="00977945">
        <w:rPr>
          <w:lang w:val="pl-PL"/>
        </w:rPr>
        <w:t>68, Seria</w:t>
      </w:r>
      <w:r w:rsidR="000F46C5">
        <w:rPr>
          <w:lang w:val="pl-PL"/>
        </w:rPr>
        <w:t xml:space="preserve"> </w:t>
      </w:r>
      <w:r w:rsidRPr="00977945">
        <w:rPr>
          <w:lang w:val="pl-PL"/>
        </w:rPr>
        <w:t>A nr</w:t>
      </w:r>
      <w:r w:rsidR="000F46C5">
        <w:rPr>
          <w:lang w:val="pl-PL"/>
        </w:rPr>
        <w:t xml:space="preserve"> </w:t>
      </w:r>
      <w:r w:rsidRPr="00977945">
        <w:rPr>
          <w:lang w:val="pl-PL"/>
        </w:rPr>
        <w:t xml:space="preserve">28; a także </w:t>
      </w:r>
      <w:r w:rsidRPr="00977945">
        <w:rPr>
          <w:i/>
          <w:iCs/>
          <w:lang w:val="pl-PL"/>
        </w:rPr>
        <w:t>Maaouia przeciwko Francji</w:t>
      </w:r>
      <w:r w:rsidRPr="00977945">
        <w:rPr>
          <w:lang w:val="pl-PL"/>
        </w:rPr>
        <w:t xml:space="preserve"> [WI], nr</w:t>
      </w:r>
      <w:r w:rsidR="000F46C5">
        <w:rPr>
          <w:lang w:val="pl-PL"/>
        </w:rPr>
        <w:t xml:space="preserve"> </w:t>
      </w:r>
      <w:r w:rsidRPr="00977945">
        <w:rPr>
          <w:lang w:val="pl-PL"/>
        </w:rPr>
        <w:t>39652/98, §</w:t>
      </w:r>
      <w:r w:rsidR="000F46C5">
        <w:rPr>
          <w:lang w:val="pl-PL"/>
        </w:rPr>
        <w:t xml:space="preserve"> </w:t>
      </w:r>
      <w:r w:rsidRPr="00977945">
        <w:rPr>
          <w:lang w:val="pl-PL"/>
        </w:rPr>
        <w:t xml:space="preserve">36, </w:t>
      </w:r>
      <w:r w:rsidR="000F46C5">
        <w:rPr>
          <w:lang w:val="pl-PL"/>
        </w:rPr>
        <w:t xml:space="preserve">ETPC </w:t>
      </w:r>
      <w:r w:rsidRPr="00977945">
        <w:rPr>
          <w:lang w:val="pl-PL"/>
        </w:rPr>
        <w:t xml:space="preserve">2000-X; </w:t>
      </w:r>
      <w:r w:rsidRPr="00977945">
        <w:rPr>
          <w:i/>
          <w:iCs/>
          <w:lang w:val="pl-PL"/>
        </w:rPr>
        <w:t>Kudła przeciwko Polsce</w:t>
      </w:r>
      <w:r w:rsidRPr="00977945">
        <w:rPr>
          <w:lang w:val="pl-PL"/>
        </w:rPr>
        <w:t xml:space="preserve"> [WI], nr</w:t>
      </w:r>
      <w:r w:rsidR="001F5A65">
        <w:rPr>
          <w:lang w:val="pl-PL"/>
        </w:rPr>
        <w:t> </w:t>
      </w:r>
      <w:r w:rsidRPr="00977945">
        <w:rPr>
          <w:lang w:val="pl-PL"/>
        </w:rPr>
        <w:t>30210/96, §</w:t>
      </w:r>
      <w:r w:rsidR="000F46C5">
        <w:rPr>
          <w:lang w:val="pl-PL"/>
        </w:rPr>
        <w:t xml:space="preserve"> </w:t>
      </w:r>
      <w:r w:rsidRPr="00977945">
        <w:rPr>
          <w:lang w:val="pl-PL"/>
        </w:rPr>
        <w:t xml:space="preserve">152, </w:t>
      </w:r>
      <w:r w:rsidR="000F46C5">
        <w:rPr>
          <w:lang w:val="pl-PL"/>
        </w:rPr>
        <w:t xml:space="preserve">ETPC </w:t>
      </w:r>
      <w:r w:rsidRPr="00977945">
        <w:rPr>
          <w:lang w:val="pl-PL"/>
        </w:rPr>
        <w:t xml:space="preserve">2000-XI oraz </w:t>
      </w:r>
      <w:r w:rsidRPr="00977945">
        <w:rPr>
          <w:i/>
          <w:iCs/>
          <w:lang w:val="pl-PL"/>
        </w:rPr>
        <w:t>Stec i Inni, op.</w:t>
      </w:r>
      <w:r>
        <w:rPr>
          <w:i/>
          <w:iCs/>
          <w:lang w:val="pl-PL"/>
        </w:rPr>
        <w:t xml:space="preserve"> </w:t>
      </w:r>
      <w:r w:rsidRPr="00977945">
        <w:rPr>
          <w:i/>
          <w:iCs/>
          <w:lang w:val="pl-PL"/>
        </w:rPr>
        <w:t xml:space="preserve">cit., </w:t>
      </w:r>
      <w:r w:rsidRPr="00977945">
        <w:rPr>
          <w:lang w:val="pl-PL"/>
        </w:rPr>
        <w:t>§</w:t>
      </w:r>
      <w:r w:rsidR="000F46C5">
        <w:rPr>
          <w:lang w:val="pl-PL"/>
        </w:rPr>
        <w:t xml:space="preserve"> </w:t>
      </w:r>
      <w:r w:rsidRPr="00977945">
        <w:rPr>
          <w:lang w:val="pl-PL"/>
        </w:rPr>
        <w:t>48).</w:t>
      </w:r>
    </w:p>
    <w:p w14:paraId="7A6547CD" w14:textId="68495574" w:rsidR="009E53C0" w:rsidRPr="00977945" w:rsidRDefault="009E53C0" w:rsidP="000D30FE">
      <w:pPr>
        <w:pStyle w:val="ECHRPara"/>
        <w:rPr>
          <w:lang w:val="pl-PL"/>
        </w:rPr>
      </w:pPr>
      <w:r w:rsidRPr="00977945">
        <w:rPr>
          <w:lang w:val="pl-PL"/>
        </w:rPr>
        <w:t>114.</w:t>
      </w:r>
      <w:r>
        <w:rPr>
          <w:lang w:val="pl-PL"/>
        </w:rPr>
        <w:t xml:space="preserve"> </w:t>
      </w:r>
      <w:r w:rsidRPr="00977945">
        <w:rPr>
          <w:lang w:val="pl-PL"/>
        </w:rPr>
        <w:t xml:space="preserve">W świetle tych rozważań </w:t>
      </w:r>
      <w:r w:rsidRPr="00977945">
        <w:rPr>
          <w:snapToGrid w:val="0"/>
          <w:lang w:val="pl-PL"/>
        </w:rPr>
        <w:t>Trybunał uważa, że musi, do pewnego stopnia, interpretować termin „prawomocny” w sposób autonomiczny, gdy</w:t>
      </w:r>
      <w:r w:rsidR="001F5A65">
        <w:rPr>
          <w:snapToGrid w:val="0"/>
          <w:lang w:val="pl-PL"/>
        </w:rPr>
        <w:t> </w:t>
      </w:r>
      <w:r w:rsidRPr="00977945">
        <w:rPr>
          <w:snapToGrid w:val="0"/>
          <w:lang w:val="pl-PL"/>
        </w:rPr>
        <w:t>jest to uzasadnione racjonalnymi powodami, tak jak w istocie czyni to</w:t>
      </w:r>
      <w:r w:rsidR="001F5A65">
        <w:rPr>
          <w:snapToGrid w:val="0"/>
          <w:lang w:val="pl-PL"/>
        </w:rPr>
        <w:t> </w:t>
      </w:r>
      <w:r w:rsidRPr="00977945">
        <w:rPr>
          <w:snapToGrid w:val="0"/>
          <w:lang w:val="pl-PL"/>
        </w:rPr>
        <w:t>przy ustalaniu, czy charakterystyka prawna przestępstwa jest objęta pojęciem „p</w:t>
      </w:r>
      <w:r w:rsidR="0044329B">
        <w:rPr>
          <w:snapToGrid w:val="0"/>
          <w:lang w:val="pl-PL"/>
        </w:rPr>
        <w:t>ostępowania karnego</w:t>
      </w:r>
      <w:r w:rsidRPr="00977945">
        <w:rPr>
          <w:snapToGrid w:val="0"/>
          <w:lang w:val="pl-PL"/>
        </w:rPr>
        <w:t>” (zob. paragrafy 54 i następne powyżej).</w:t>
      </w:r>
    </w:p>
    <w:p w14:paraId="1A806BED" w14:textId="677A6FAA" w:rsidR="009E53C0" w:rsidRPr="00977945" w:rsidRDefault="009E53C0" w:rsidP="000D30FE">
      <w:pPr>
        <w:pStyle w:val="ECHRPara"/>
        <w:rPr>
          <w:lang w:val="pl-PL"/>
        </w:rPr>
      </w:pPr>
      <w:bookmarkStart w:id="77" w:name="P115N"/>
      <w:r w:rsidRPr="00977945">
        <w:rPr>
          <w:snapToGrid w:val="0"/>
          <w:lang w:val="pl-PL"/>
        </w:rPr>
        <w:t>115</w:t>
      </w:r>
      <w:bookmarkEnd w:id="77"/>
      <w:r w:rsidRPr="00977945">
        <w:rPr>
          <w:snapToGrid w:val="0"/>
          <w:lang w:val="pl-PL"/>
        </w:rPr>
        <w:t>.</w:t>
      </w:r>
      <w:r>
        <w:rPr>
          <w:snapToGrid w:val="0"/>
          <w:lang w:val="pl-PL"/>
        </w:rPr>
        <w:t xml:space="preserve"> </w:t>
      </w:r>
      <w:r w:rsidRPr="00977945">
        <w:rPr>
          <w:snapToGrid w:val="0"/>
          <w:lang w:val="pl-PL"/>
        </w:rPr>
        <w:t>W celu ustalenia, czy orzeczenie jest „prawomocne</w:t>
      </w:r>
      <w:r>
        <w:rPr>
          <w:snapToGrid w:val="0"/>
          <w:lang w:val="pl-PL"/>
        </w:rPr>
        <w:t>"</w:t>
      </w:r>
      <w:r w:rsidRPr="00977945">
        <w:rPr>
          <w:snapToGrid w:val="0"/>
          <w:lang w:val="pl-PL"/>
        </w:rPr>
        <w:t xml:space="preserve"> w</w:t>
      </w:r>
      <w:r w:rsidR="000F46C5">
        <w:rPr>
          <w:snapToGrid w:val="0"/>
          <w:lang w:val="pl-PL"/>
        </w:rPr>
        <w:t xml:space="preserve"> </w:t>
      </w:r>
      <w:r w:rsidRPr="00977945">
        <w:rPr>
          <w:snapToGrid w:val="0"/>
          <w:lang w:val="pl-PL"/>
        </w:rPr>
        <w:t>rozumieniu art. 4 Protokołu nr 7, należy ustalić, czy podlega ono „zwyczajnemu środkowi odwoławczemu”. Ustalając „zwyczajne” środki odwoławcze w</w:t>
      </w:r>
      <w:r w:rsidR="000F46C5">
        <w:rPr>
          <w:snapToGrid w:val="0"/>
          <w:lang w:val="pl-PL"/>
        </w:rPr>
        <w:t xml:space="preserve"> </w:t>
      </w:r>
      <w:r w:rsidRPr="00977945">
        <w:rPr>
          <w:snapToGrid w:val="0"/>
          <w:lang w:val="pl-PL"/>
        </w:rPr>
        <w:t>konkretnej sprawie, Trybunał przyjmie za punkt wyjścia prawo i procedurę krajową. Prawo krajowe – zarówno materialne, jak i</w:t>
      </w:r>
      <w:r w:rsidR="000F46C5">
        <w:rPr>
          <w:snapToGrid w:val="0"/>
          <w:lang w:val="pl-PL"/>
        </w:rPr>
        <w:t xml:space="preserve"> </w:t>
      </w:r>
      <w:r w:rsidRPr="00977945">
        <w:rPr>
          <w:snapToGrid w:val="0"/>
          <w:lang w:val="pl-PL"/>
        </w:rPr>
        <w:t>proceduralne – musi odpowiadać zasadzie pewności prawa, która wymaga zarówno, aby zakres środka odwoławczego w rozumieniu art. 4 Protokołu nr 7 był wyraźnie określony w</w:t>
      </w:r>
      <w:r w:rsidR="001F5A65">
        <w:rPr>
          <w:snapToGrid w:val="0"/>
          <w:lang w:val="pl-PL"/>
        </w:rPr>
        <w:t> </w:t>
      </w:r>
      <w:r w:rsidRPr="00977945">
        <w:rPr>
          <w:snapToGrid w:val="0"/>
          <w:lang w:val="pl-PL"/>
        </w:rPr>
        <w:t>czasie, jak i aby procedura jego stosowania była jasna dla tych stron, które</w:t>
      </w:r>
      <w:r w:rsidR="001F5A65">
        <w:rPr>
          <w:snapToGrid w:val="0"/>
          <w:lang w:val="pl-PL"/>
        </w:rPr>
        <w:t> </w:t>
      </w:r>
      <w:r w:rsidRPr="00977945">
        <w:rPr>
          <w:snapToGrid w:val="0"/>
          <w:lang w:val="pl-PL"/>
        </w:rPr>
        <w:t>mogą skorzystać z danego środka odwoławczego. Inaczej mówiąc, aby</w:t>
      </w:r>
      <w:r w:rsidR="001F5A65">
        <w:rPr>
          <w:snapToGrid w:val="0"/>
          <w:lang w:val="pl-PL"/>
        </w:rPr>
        <w:t> </w:t>
      </w:r>
      <w:r w:rsidRPr="00977945">
        <w:rPr>
          <w:snapToGrid w:val="0"/>
          <w:lang w:val="pl-PL"/>
        </w:rPr>
        <w:t>spełniona została zasada pewności prawa, która jest nieodłącznie związana z prawem do niebycia sądzonym lub karanym dwukrotnie za</w:t>
      </w:r>
      <w:r w:rsidR="001F5A65">
        <w:rPr>
          <w:snapToGrid w:val="0"/>
          <w:lang w:val="pl-PL"/>
        </w:rPr>
        <w:t> </w:t>
      </w:r>
      <w:r w:rsidRPr="00977945">
        <w:rPr>
          <w:snapToGrid w:val="0"/>
          <w:lang w:val="pl-PL"/>
        </w:rPr>
        <w:t>to</w:t>
      </w:r>
      <w:r w:rsidR="001F5A65">
        <w:rPr>
          <w:snapToGrid w:val="0"/>
          <w:lang w:val="pl-PL"/>
        </w:rPr>
        <w:t> </w:t>
      </w:r>
      <w:r w:rsidRPr="00977945">
        <w:rPr>
          <w:snapToGrid w:val="0"/>
          <w:lang w:val="pl-PL"/>
        </w:rPr>
        <w:t xml:space="preserve">samo przestępstwo (zob. </w:t>
      </w:r>
      <w:r w:rsidRPr="00977945">
        <w:rPr>
          <w:i/>
          <w:iCs/>
          <w:snapToGrid w:val="0"/>
          <w:lang w:val="pl-PL"/>
        </w:rPr>
        <w:t>Nikitin, op.</w:t>
      </w:r>
      <w:r>
        <w:rPr>
          <w:i/>
          <w:iCs/>
          <w:snapToGrid w:val="0"/>
          <w:lang w:val="pl-PL"/>
        </w:rPr>
        <w:t xml:space="preserve"> </w:t>
      </w:r>
      <w:r w:rsidRPr="00977945">
        <w:rPr>
          <w:i/>
          <w:iCs/>
          <w:snapToGrid w:val="0"/>
          <w:lang w:val="pl-PL"/>
        </w:rPr>
        <w:t>cit.</w:t>
      </w:r>
      <w:r w:rsidRPr="00977945">
        <w:rPr>
          <w:snapToGrid w:val="0"/>
          <w:lang w:val="pl-PL"/>
        </w:rPr>
        <w:t xml:space="preserve"> § 39), środek odwoławczy musi działać w sposób przynoszący jasność co do momentu, w</w:t>
      </w:r>
      <w:r w:rsidR="000F46C5">
        <w:rPr>
          <w:snapToGrid w:val="0"/>
          <w:lang w:val="pl-PL"/>
        </w:rPr>
        <w:t xml:space="preserve"> </w:t>
      </w:r>
      <w:r w:rsidRPr="00977945">
        <w:rPr>
          <w:snapToGrid w:val="0"/>
          <w:lang w:val="pl-PL"/>
        </w:rPr>
        <w:t>którym orzeczenie staje się prawomocne. W tym kontekście Trybunał zauważ</w:t>
      </w:r>
      <w:r w:rsidR="000472CF">
        <w:rPr>
          <w:snapToGrid w:val="0"/>
          <w:lang w:val="pl-PL"/>
        </w:rPr>
        <w:t>a</w:t>
      </w:r>
      <w:r w:rsidRPr="00977945">
        <w:rPr>
          <w:snapToGrid w:val="0"/>
          <w:lang w:val="pl-PL"/>
        </w:rPr>
        <w:t xml:space="preserve"> w szczególności, że wymóg terminu, aby środek odwoławczy mógł zostać uznany za</w:t>
      </w:r>
      <w:r w:rsidR="001F5A65">
        <w:rPr>
          <w:snapToGrid w:val="0"/>
          <w:lang w:val="pl-PL"/>
        </w:rPr>
        <w:t> </w:t>
      </w:r>
      <w:r w:rsidRPr="00977945">
        <w:rPr>
          <w:snapToGrid w:val="0"/>
          <w:lang w:val="pl-PL"/>
        </w:rPr>
        <w:t>„zwyczajny”</w:t>
      </w:r>
      <w:r w:rsidR="000472CF">
        <w:rPr>
          <w:snapToGrid w:val="0"/>
          <w:lang w:val="pl-PL"/>
        </w:rPr>
        <w:t xml:space="preserve"> </w:t>
      </w:r>
      <w:r w:rsidRPr="00977945">
        <w:rPr>
          <w:snapToGrid w:val="0"/>
          <w:lang w:val="pl-PL"/>
        </w:rPr>
        <w:t xml:space="preserve">wynika </w:t>
      </w:r>
      <w:r w:rsidR="000472CF">
        <w:rPr>
          <w:snapToGrid w:val="0"/>
          <w:lang w:val="pl-PL"/>
        </w:rPr>
        <w:t xml:space="preserve">pośrednio </w:t>
      </w:r>
      <w:r w:rsidRPr="00977945">
        <w:rPr>
          <w:snapToGrid w:val="0"/>
          <w:lang w:val="pl-PL"/>
        </w:rPr>
        <w:t>z</w:t>
      </w:r>
      <w:r w:rsidR="000F46C5">
        <w:rPr>
          <w:snapToGrid w:val="0"/>
          <w:lang w:val="pl-PL"/>
        </w:rPr>
        <w:t xml:space="preserve"> </w:t>
      </w:r>
      <w:r w:rsidRPr="00977945">
        <w:rPr>
          <w:snapToGrid w:val="0"/>
          <w:lang w:val="pl-PL"/>
        </w:rPr>
        <w:t>brzmienia samego sprawozdania wyjaśniającego, które st</w:t>
      </w:r>
      <w:r w:rsidR="000472CF">
        <w:rPr>
          <w:snapToGrid w:val="0"/>
          <w:lang w:val="pl-PL"/>
        </w:rPr>
        <w:t>wierdza</w:t>
      </w:r>
      <w:r w:rsidRPr="00977945">
        <w:rPr>
          <w:snapToGrid w:val="0"/>
          <w:lang w:val="pl-PL"/>
        </w:rPr>
        <w:t>, że</w:t>
      </w:r>
      <w:r w:rsidR="000F46C5">
        <w:rPr>
          <w:snapToGrid w:val="0"/>
          <w:lang w:val="pl-PL"/>
        </w:rPr>
        <w:t xml:space="preserve"> </w:t>
      </w:r>
      <w:r w:rsidRPr="00977945">
        <w:rPr>
          <w:snapToGrid w:val="0"/>
          <w:lang w:val="pl-PL"/>
        </w:rPr>
        <w:t>orzeczenie jest nieodwołalne, jeżeli strony dopuściły do upływu „terminu” bez skorzystania z takiego środka odwoławczego. Prawo przyznające jednej ze stron nieograniczoną swobodę decydowania o</w:t>
      </w:r>
      <w:r w:rsidR="000F46C5">
        <w:rPr>
          <w:snapToGrid w:val="0"/>
          <w:lang w:val="pl-PL"/>
        </w:rPr>
        <w:t xml:space="preserve"> </w:t>
      </w:r>
      <w:r w:rsidRPr="00977945">
        <w:rPr>
          <w:snapToGrid w:val="0"/>
          <w:lang w:val="pl-PL"/>
        </w:rPr>
        <w:t>skorzystaniu z określonego środka odwoławczego lub</w:t>
      </w:r>
      <w:r w:rsidR="001F5A65">
        <w:rPr>
          <w:snapToGrid w:val="0"/>
          <w:lang w:val="pl-PL"/>
        </w:rPr>
        <w:t> </w:t>
      </w:r>
      <w:r w:rsidRPr="00977945">
        <w:rPr>
          <w:snapToGrid w:val="0"/>
          <w:lang w:val="pl-PL"/>
        </w:rPr>
        <w:t>uzależniające ten środek od spełnienia</w:t>
      </w:r>
      <w:r w:rsidRPr="00977945">
        <w:rPr>
          <w:lang w:val="pl-PL"/>
        </w:rPr>
        <w:t xml:space="preserve"> warunków ujawniających znaczną nierównowagę stron w zakresie możliwości skorzystania z niego byłoby sprzeczne z</w:t>
      </w:r>
      <w:r w:rsidRPr="00977945">
        <w:rPr>
          <w:snapToGrid w:val="0"/>
          <w:lang w:val="pl-PL"/>
        </w:rPr>
        <w:t xml:space="preserve"> zasadą pewności prawa (zob., odpowiednio, </w:t>
      </w:r>
      <w:r w:rsidRPr="00977945">
        <w:rPr>
          <w:i/>
          <w:iCs/>
          <w:snapToGrid w:val="0"/>
          <w:lang w:val="pl-PL"/>
        </w:rPr>
        <w:t>Gacon przeciwko Francji,</w:t>
      </w:r>
      <w:r w:rsidRPr="00977945">
        <w:rPr>
          <w:snapToGrid w:val="0"/>
          <w:lang w:val="pl-PL"/>
        </w:rPr>
        <w:t xml:space="preserve"> nr 1092/04, § 34 </w:t>
      </w:r>
      <w:r w:rsidRPr="00977945">
        <w:rPr>
          <w:i/>
          <w:iCs/>
          <w:snapToGrid w:val="0"/>
          <w:lang w:val="pl-PL"/>
        </w:rPr>
        <w:t>in fine</w:t>
      </w:r>
      <w:r w:rsidRPr="00977945">
        <w:rPr>
          <w:snapToGrid w:val="0"/>
          <w:lang w:val="pl-PL"/>
        </w:rPr>
        <w:t>, 22</w:t>
      </w:r>
      <w:r w:rsidR="000F46C5">
        <w:rPr>
          <w:snapToGrid w:val="0"/>
          <w:lang w:val="pl-PL"/>
        </w:rPr>
        <w:t xml:space="preserve"> </w:t>
      </w:r>
      <w:r w:rsidRPr="00977945">
        <w:rPr>
          <w:snapToGrid w:val="0"/>
          <w:lang w:val="pl-PL"/>
        </w:rPr>
        <w:t>maja 2008 r.)</w:t>
      </w:r>
      <w:r w:rsidRPr="00977945">
        <w:rPr>
          <w:lang w:val="pl-PL"/>
        </w:rPr>
        <w:t>.</w:t>
      </w:r>
    </w:p>
    <w:p w14:paraId="4BB91EAA" w14:textId="0CDFDE1C" w:rsidR="009E53C0" w:rsidRPr="00C8661A" w:rsidRDefault="009E53C0" w:rsidP="000D30FE">
      <w:pPr>
        <w:pStyle w:val="ECHRPara"/>
        <w:rPr>
          <w:rFonts w:eastAsia="Times New Roman"/>
          <w:snapToGrid w:val="0"/>
          <w:lang w:val="pl-PL"/>
        </w:rPr>
      </w:pPr>
      <w:r w:rsidRPr="00977945">
        <w:rPr>
          <w:snapToGrid w:val="0"/>
          <w:lang w:val="pl-PL"/>
        </w:rPr>
        <w:t>116.</w:t>
      </w:r>
      <w:r>
        <w:rPr>
          <w:snapToGrid w:val="0"/>
          <w:lang w:val="pl-PL"/>
        </w:rPr>
        <w:t xml:space="preserve"> </w:t>
      </w:r>
      <w:r w:rsidRPr="00977945">
        <w:rPr>
          <w:snapToGrid w:val="0"/>
          <w:lang w:val="pl-PL"/>
        </w:rPr>
        <w:t>Konwencja niewątpliwie pozwala państwom – w ramach wykonywania ich funkcji administratorów wymiaru sprawiedliwości i</w:t>
      </w:r>
      <w:r w:rsidR="001F5A65">
        <w:rPr>
          <w:snapToGrid w:val="0"/>
          <w:lang w:val="pl-PL"/>
        </w:rPr>
        <w:t> </w:t>
      </w:r>
      <w:r w:rsidRPr="00977945">
        <w:rPr>
          <w:snapToGrid w:val="0"/>
          <w:lang w:val="pl-PL"/>
        </w:rPr>
        <w:t>strażników interesu publicznego – na określenie, co zgodnie z ich prawem krajowym stanowi decyzję, na mocy której postępowanie karne zostaje zakończone ze skutkiem ostatecznym. Niemniej gdyby Układające się Strony</w:t>
      </w:r>
      <w:r w:rsidRPr="00977945">
        <w:rPr>
          <w:lang w:val="pl-PL"/>
        </w:rPr>
        <w:t xml:space="preserve"> mogły </w:t>
      </w:r>
      <w:r w:rsidRPr="00977945">
        <w:rPr>
          <w:snapToGrid w:val="0"/>
          <w:lang w:val="pl-PL"/>
        </w:rPr>
        <w:t>określ</w:t>
      </w:r>
      <w:r w:rsidR="00A52DB8">
        <w:rPr>
          <w:snapToGrid w:val="0"/>
          <w:lang w:val="pl-PL"/>
        </w:rPr>
        <w:t>a</w:t>
      </w:r>
      <w:r w:rsidRPr="00977945">
        <w:rPr>
          <w:snapToGrid w:val="0"/>
          <w:lang w:val="pl-PL"/>
        </w:rPr>
        <w:t xml:space="preserve">ć według własnego uznania, kiedy orzeczenie jest „prawomocne” w rozumieniu art. 4 Protokołu nr 7, bez kontroli ze strony Trybunału, stosowanie tego artykułu </w:t>
      </w:r>
      <w:r w:rsidRPr="00977945">
        <w:rPr>
          <w:lang w:val="pl-PL"/>
        </w:rPr>
        <w:t>pozostawałoby w ich gestii</w:t>
      </w:r>
      <w:r w:rsidRPr="00977945">
        <w:rPr>
          <w:snapToGrid w:val="0"/>
          <w:lang w:val="pl-PL"/>
        </w:rPr>
        <w:t xml:space="preserve">. </w:t>
      </w:r>
      <w:r w:rsidRPr="00977945">
        <w:rPr>
          <w:lang w:val="pl-PL"/>
        </w:rPr>
        <w:t>Tak daleko posunięta swoboda mogłaby prowadzić do rezultatów niezgodnych z</w:t>
      </w:r>
      <w:r w:rsidR="000F46C5">
        <w:rPr>
          <w:lang w:val="pl-PL"/>
        </w:rPr>
        <w:t xml:space="preserve"> </w:t>
      </w:r>
      <w:r w:rsidRPr="00977945">
        <w:rPr>
          <w:lang w:val="pl-PL"/>
        </w:rPr>
        <w:t>celem i</w:t>
      </w:r>
      <w:r w:rsidR="001F5A65">
        <w:rPr>
          <w:lang w:val="pl-PL"/>
        </w:rPr>
        <w:t> </w:t>
      </w:r>
      <w:r w:rsidRPr="00977945">
        <w:rPr>
          <w:lang w:val="pl-PL"/>
        </w:rPr>
        <w:t>przedmiotem Konwencji</w:t>
      </w:r>
      <w:r w:rsidRPr="00977945">
        <w:rPr>
          <w:snapToGrid w:val="0"/>
          <w:lang w:val="pl-PL"/>
        </w:rPr>
        <w:t xml:space="preserve"> (zob. odpowiednio, </w:t>
      </w:r>
      <w:r w:rsidRPr="00977945">
        <w:rPr>
          <w:i/>
          <w:iCs/>
          <w:snapToGrid w:val="0"/>
          <w:lang w:val="pl-PL"/>
        </w:rPr>
        <w:t>Engel i Inni</w:t>
      </w:r>
      <w:r w:rsidRPr="00977945">
        <w:rPr>
          <w:snapToGrid w:val="0"/>
          <w:lang w:val="pl-PL"/>
        </w:rPr>
        <w:t xml:space="preserve">, </w:t>
      </w:r>
      <w:r w:rsidRPr="00977945">
        <w:rPr>
          <w:i/>
          <w:iCs/>
          <w:snapToGrid w:val="0"/>
          <w:lang w:val="pl-PL"/>
        </w:rPr>
        <w:t>op.</w:t>
      </w:r>
      <w:r>
        <w:rPr>
          <w:i/>
          <w:iCs/>
          <w:snapToGrid w:val="0"/>
          <w:lang w:val="pl-PL"/>
        </w:rPr>
        <w:t xml:space="preserve"> </w:t>
      </w:r>
      <w:r w:rsidRPr="00977945">
        <w:rPr>
          <w:i/>
          <w:iCs/>
          <w:snapToGrid w:val="0"/>
          <w:lang w:val="pl-PL"/>
        </w:rPr>
        <w:t>cit.</w:t>
      </w:r>
      <w:r w:rsidRPr="00977945">
        <w:rPr>
          <w:snapToGrid w:val="0"/>
          <w:lang w:val="pl-PL"/>
        </w:rPr>
        <w:t>, §</w:t>
      </w:r>
      <w:r w:rsidR="000F46C5">
        <w:rPr>
          <w:snapToGrid w:val="0"/>
          <w:lang w:val="pl-PL"/>
        </w:rPr>
        <w:t xml:space="preserve"> </w:t>
      </w:r>
      <w:r w:rsidRPr="00977945">
        <w:rPr>
          <w:snapToGrid w:val="0"/>
          <w:lang w:val="pl-PL"/>
        </w:rPr>
        <w:t xml:space="preserve">81; </w:t>
      </w:r>
      <w:r w:rsidRPr="00977945">
        <w:rPr>
          <w:i/>
          <w:iCs/>
          <w:snapToGrid w:val="0"/>
          <w:lang w:val="pl-PL"/>
        </w:rPr>
        <w:t>Öztürk przeciwko Niemcom</w:t>
      </w:r>
      <w:r w:rsidRPr="00977945">
        <w:rPr>
          <w:snapToGrid w:val="0"/>
          <w:lang w:val="pl-PL"/>
        </w:rPr>
        <w:t>, 21 lutego 1984 r., § 49, Seria A nr 73; oraz</w:t>
      </w:r>
      <w:r w:rsidR="001F5A65">
        <w:rPr>
          <w:snapToGrid w:val="0"/>
          <w:lang w:val="pl-PL"/>
        </w:rPr>
        <w:t> </w:t>
      </w:r>
      <w:r w:rsidR="00C05803">
        <w:rPr>
          <w:i/>
          <w:iCs/>
          <w:snapToGrid w:val="0"/>
          <w:lang w:val="pl-PL"/>
        </w:rPr>
        <w:t>Storbråten</w:t>
      </w:r>
      <w:r w:rsidRPr="00977945">
        <w:rPr>
          <w:snapToGrid w:val="0"/>
          <w:lang w:val="pl-PL"/>
        </w:rPr>
        <w:t xml:space="preserve">, </w:t>
      </w:r>
      <w:r w:rsidRPr="00977945">
        <w:rPr>
          <w:i/>
          <w:iCs/>
          <w:snapToGrid w:val="0"/>
          <w:lang w:val="pl-PL"/>
        </w:rPr>
        <w:t>op.</w:t>
      </w:r>
      <w:r>
        <w:rPr>
          <w:i/>
          <w:iCs/>
          <w:snapToGrid w:val="0"/>
          <w:lang w:val="pl-PL"/>
        </w:rPr>
        <w:t xml:space="preserve"> </w:t>
      </w:r>
      <w:r w:rsidRPr="00977945">
        <w:rPr>
          <w:i/>
          <w:iCs/>
          <w:snapToGrid w:val="0"/>
          <w:lang w:val="pl-PL"/>
        </w:rPr>
        <w:t>cit.</w:t>
      </w:r>
      <w:r w:rsidRPr="00977945">
        <w:rPr>
          <w:snapToGrid w:val="0"/>
          <w:lang w:val="pl-PL"/>
        </w:rPr>
        <w:t xml:space="preserve">), czyli zapewnienia, by nikt nie był sądzony </w:t>
      </w:r>
      <w:r w:rsidRPr="00977945">
        <w:rPr>
          <w:snapToGrid w:val="0"/>
          <w:lang w:val="pl-PL"/>
        </w:rPr>
        <w:lastRenderedPageBreak/>
        <w:t>lub</w:t>
      </w:r>
      <w:r w:rsidR="001F5A65">
        <w:rPr>
          <w:snapToGrid w:val="0"/>
          <w:lang w:val="pl-PL"/>
        </w:rPr>
        <w:t> </w:t>
      </w:r>
      <w:r w:rsidRPr="00977945">
        <w:rPr>
          <w:snapToGrid w:val="0"/>
          <w:lang w:val="pl-PL"/>
        </w:rPr>
        <w:t>karany dwukrotnie za to samo przestępstwo. Jeśli temu prawu nie</w:t>
      </w:r>
      <w:r w:rsidR="001F5A65">
        <w:rPr>
          <w:snapToGrid w:val="0"/>
          <w:lang w:val="pl-PL"/>
        </w:rPr>
        <w:t> </w:t>
      </w:r>
      <w:r w:rsidRPr="00977945">
        <w:rPr>
          <w:snapToGrid w:val="0"/>
          <w:lang w:val="pl-PL"/>
        </w:rPr>
        <w:t>towarzyszyłoby zabezpieczenie pozwalające na określenie „prawomocnego” orzeczenia w konkretnym przypadku na podstawie obiektywnych kryteriów, jego zakres byłby bardzo ograniczony. Jednakże postanowienia art.</w:t>
      </w:r>
      <w:r w:rsidR="00A52DB8">
        <w:rPr>
          <w:snapToGrid w:val="0"/>
          <w:lang w:val="pl-PL"/>
        </w:rPr>
        <w:t xml:space="preserve"> </w:t>
      </w:r>
      <w:r w:rsidRPr="00977945">
        <w:rPr>
          <w:snapToGrid w:val="0"/>
          <w:lang w:val="pl-PL"/>
        </w:rPr>
        <w:t>4 Protokołu nr 7 muszą być interpretowane i stosowane w</w:t>
      </w:r>
      <w:r w:rsidR="001F5A65">
        <w:rPr>
          <w:snapToGrid w:val="0"/>
          <w:lang w:val="pl-PL"/>
        </w:rPr>
        <w:t> </w:t>
      </w:r>
      <w:r w:rsidRPr="00977945">
        <w:rPr>
          <w:snapToGrid w:val="0"/>
          <w:lang w:val="pl-PL"/>
        </w:rPr>
        <w:t>sposób, który czyni jego prawa praktycznymi i skutecznymi, a</w:t>
      </w:r>
      <w:r w:rsidR="001F5A65">
        <w:rPr>
          <w:snapToGrid w:val="0"/>
          <w:lang w:val="pl-PL"/>
        </w:rPr>
        <w:t> </w:t>
      </w:r>
      <w:r w:rsidRPr="00977945">
        <w:rPr>
          <w:snapToGrid w:val="0"/>
          <w:lang w:val="pl-PL"/>
        </w:rPr>
        <w:t>nie</w:t>
      </w:r>
      <w:r w:rsidR="001F5A65">
        <w:rPr>
          <w:snapToGrid w:val="0"/>
          <w:lang w:val="pl-PL"/>
        </w:rPr>
        <w:t> </w:t>
      </w:r>
      <w:r w:rsidRPr="00977945">
        <w:rPr>
          <w:snapToGrid w:val="0"/>
          <w:lang w:val="pl-PL"/>
        </w:rPr>
        <w:t xml:space="preserve">teoretycznymi i iluzorycznymi (patrz </w:t>
      </w:r>
      <w:r w:rsidRPr="00977945">
        <w:rPr>
          <w:i/>
          <w:iCs/>
          <w:snapToGrid w:val="0"/>
          <w:lang w:val="pl-PL"/>
        </w:rPr>
        <w:t>Artico przeciwko Włochom</w:t>
      </w:r>
      <w:r w:rsidRPr="00977945">
        <w:rPr>
          <w:snapToGrid w:val="0"/>
          <w:lang w:val="pl-PL"/>
        </w:rPr>
        <w:t>, 13</w:t>
      </w:r>
      <w:r w:rsidR="001F5A65">
        <w:rPr>
          <w:snapToGrid w:val="0"/>
          <w:lang w:val="pl-PL"/>
        </w:rPr>
        <w:t> </w:t>
      </w:r>
      <w:r w:rsidRPr="00977945">
        <w:rPr>
          <w:snapToGrid w:val="0"/>
          <w:lang w:val="pl-PL"/>
        </w:rPr>
        <w:t xml:space="preserve">maja 1980 r., § 33, Seria A nr 37, oraz </w:t>
      </w:r>
      <w:r w:rsidRPr="00977945">
        <w:rPr>
          <w:i/>
          <w:iCs/>
          <w:snapToGrid w:val="0"/>
          <w:lang w:val="pl-PL"/>
        </w:rPr>
        <w:t>Sergey Zolo</w:t>
      </w:r>
      <w:r>
        <w:rPr>
          <w:i/>
          <w:iCs/>
          <w:snapToGrid w:val="0"/>
          <w:lang w:val="pl-PL"/>
        </w:rPr>
        <w:t>tukhin,</w:t>
      </w:r>
      <w:r w:rsidRPr="00C8661A">
        <w:rPr>
          <w:i/>
          <w:iCs/>
          <w:snapToGrid w:val="0"/>
          <w:lang w:val="pl-PL"/>
        </w:rPr>
        <w:t xml:space="preserve"> </w:t>
      </w:r>
      <w:r w:rsidRPr="00977945">
        <w:rPr>
          <w:i/>
          <w:iCs/>
          <w:snapToGrid w:val="0"/>
          <w:lang w:val="pl-PL"/>
        </w:rPr>
        <w:t>op.</w:t>
      </w:r>
      <w:r>
        <w:rPr>
          <w:i/>
          <w:iCs/>
          <w:snapToGrid w:val="0"/>
          <w:lang w:val="pl-PL"/>
        </w:rPr>
        <w:t xml:space="preserve"> </w:t>
      </w:r>
      <w:r w:rsidRPr="00977945">
        <w:rPr>
          <w:i/>
          <w:iCs/>
          <w:snapToGrid w:val="0"/>
          <w:lang w:val="pl-PL"/>
        </w:rPr>
        <w:t>cit.</w:t>
      </w:r>
      <w:r w:rsidRPr="00977945">
        <w:rPr>
          <w:snapToGrid w:val="0"/>
          <w:lang w:val="pl-PL"/>
        </w:rPr>
        <w:t>,</w:t>
      </w:r>
      <w:r>
        <w:rPr>
          <w:snapToGrid w:val="0"/>
          <w:lang w:val="pl-PL"/>
        </w:rPr>
        <w:t xml:space="preserve"> </w:t>
      </w:r>
      <w:r w:rsidRPr="005956FF">
        <w:rPr>
          <w:rFonts w:eastAsia="Times New Roman"/>
          <w:snapToGrid w:val="0"/>
          <w:lang w:val="pl-PL" w:eastAsia="fr-FR"/>
        </w:rPr>
        <w:t>§ 80).</w:t>
      </w:r>
    </w:p>
    <w:p w14:paraId="17DA491C" w14:textId="0167E7FF" w:rsidR="009E53C0" w:rsidRPr="00977945" w:rsidRDefault="009E53C0" w:rsidP="000D30FE">
      <w:pPr>
        <w:pStyle w:val="ECHRHeading7"/>
        <w:rPr>
          <w:rFonts w:eastAsia="Times New Roman"/>
          <w:snapToGrid w:val="0"/>
          <w:lang w:val="pl-PL"/>
        </w:rPr>
      </w:pPr>
      <w:r w:rsidRPr="00977945">
        <w:rPr>
          <w:rFonts w:eastAsia="Times New Roman"/>
          <w:snapToGrid w:val="0"/>
          <w:lang w:val="pl-PL"/>
        </w:rPr>
        <w:t xml:space="preserve">– </w:t>
      </w:r>
      <w:r w:rsidR="00A52DB8">
        <w:rPr>
          <w:rFonts w:eastAsia="Times New Roman"/>
          <w:snapToGrid w:val="0"/>
          <w:lang w:val="pl-PL"/>
        </w:rPr>
        <w:t>Zas</w:t>
      </w:r>
      <w:r w:rsidRPr="00977945">
        <w:rPr>
          <w:rFonts w:eastAsia="Times New Roman"/>
          <w:snapToGrid w:val="0"/>
          <w:lang w:val="pl-PL"/>
        </w:rPr>
        <w:t>tosowanie powyższych zasad w niniejszej sprawie</w:t>
      </w:r>
    </w:p>
    <w:p w14:paraId="2C33797C" w14:textId="1D2BE8F9" w:rsidR="009E53C0" w:rsidRPr="00977945" w:rsidRDefault="009E53C0" w:rsidP="000D30FE">
      <w:pPr>
        <w:pStyle w:val="ECHRPara"/>
        <w:rPr>
          <w:rFonts w:eastAsia="Times New Roman"/>
          <w:snapToGrid w:val="0"/>
          <w:lang w:val="pl-PL"/>
        </w:rPr>
      </w:pPr>
      <w:r w:rsidRPr="00977945">
        <w:rPr>
          <w:rFonts w:eastAsia="Times New Roman"/>
          <w:snapToGrid w:val="0"/>
          <w:lang w:val="pl-PL"/>
        </w:rPr>
        <w:t>117.</w:t>
      </w:r>
      <w:r>
        <w:rPr>
          <w:rFonts w:eastAsia="Times New Roman"/>
          <w:snapToGrid w:val="0"/>
          <w:lang w:val="pl-PL"/>
        </w:rPr>
        <w:t xml:space="preserve"> </w:t>
      </w:r>
      <w:r w:rsidRPr="00977945">
        <w:rPr>
          <w:rFonts w:eastAsia="Times New Roman"/>
          <w:snapToGrid w:val="0"/>
          <w:lang w:val="pl-PL"/>
        </w:rPr>
        <w:t>W odniesieniu do okoliczności faktycznych niniejszej sprawy Trybunał zauważ</w:t>
      </w:r>
      <w:r w:rsidR="00432D1E">
        <w:rPr>
          <w:rFonts w:eastAsia="Times New Roman"/>
          <w:snapToGrid w:val="0"/>
          <w:lang w:val="pl-PL"/>
        </w:rPr>
        <w:t>a</w:t>
      </w:r>
      <w:r w:rsidRPr="00977945">
        <w:rPr>
          <w:rFonts w:eastAsia="Times New Roman"/>
          <w:snapToGrid w:val="0"/>
          <w:lang w:val="pl-PL"/>
        </w:rPr>
        <w:t xml:space="preserve"> przede wszystkim, że zgodnie z prawem rumuńskim postanowienie prokuratora z dnia 7 sierpnia 2008 r. o nałożeniu na</w:t>
      </w:r>
      <w:r w:rsidR="001F5A65">
        <w:rPr>
          <w:rFonts w:eastAsia="Times New Roman"/>
          <w:snapToGrid w:val="0"/>
          <w:lang w:val="pl-PL"/>
        </w:rPr>
        <w:t> </w:t>
      </w:r>
      <w:r w:rsidRPr="00977945">
        <w:rPr>
          <w:rFonts w:eastAsia="Times New Roman"/>
          <w:snapToGrid w:val="0"/>
          <w:lang w:val="pl-PL"/>
        </w:rPr>
        <w:t>skarżącego kary przy jednoczesnym umorzeniu postępowania karnego nie</w:t>
      </w:r>
      <w:r w:rsidR="001F5A65">
        <w:rPr>
          <w:rFonts w:eastAsia="Times New Roman"/>
          <w:snapToGrid w:val="0"/>
          <w:lang w:val="pl-PL"/>
        </w:rPr>
        <w:t> </w:t>
      </w:r>
      <w:r w:rsidRPr="00977945">
        <w:rPr>
          <w:rFonts w:eastAsia="Times New Roman"/>
          <w:snapToGrid w:val="0"/>
          <w:lang w:val="pl-PL"/>
        </w:rPr>
        <w:t xml:space="preserve">mogło </w:t>
      </w:r>
      <w:r w:rsidR="00432D1E">
        <w:rPr>
          <w:rFonts w:eastAsia="Times New Roman"/>
          <w:snapToGrid w:val="0"/>
          <w:lang w:val="pl-PL"/>
        </w:rPr>
        <w:t>tworzyć</w:t>
      </w:r>
      <w:r w:rsidRPr="00977945">
        <w:rPr>
          <w:rFonts w:eastAsia="Times New Roman"/>
          <w:snapToGrid w:val="0"/>
          <w:lang w:val="pl-PL"/>
        </w:rPr>
        <w:t xml:space="preserve"> powagi rzeczy osądzonej, ponieważ pojęcie to ma zastosowanie jedynie do orzeczeń sądowych. Podobnie postanowienie to</w:t>
      </w:r>
      <w:r w:rsidR="001F5A65">
        <w:rPr>
          <w:rFonts w:eastAsia="Times New Roman"/>
          <w:snapToGrid w:val="0"/>
          <w:lang w:val="pl-PL"/>
        </w:rPr>
        <w:t> </w:t>
      </w:r>
      <w:r w:rsidRPr="00977945">
        <w:rPr>
          <w:rFonts w:eastAsia="Times New Roman"/>
          <w:snapToGrid w:val="0"/>
          <w:lang w:val="pl-PL"/>
        </w:rPr>
        <w:t>podlegało kontroli prokuratury wyższego szczebla, ponieważ nie było ono prawomocne w świetle prawa krajowego.</w:t>
      </w:r>
    </w:p>
    <w:p w14:paraId="4DC85A5F" w14:textId="54C24826" w:rsidR="009E53C0" w:rsidRPr="00977945" w:rsidRDefault="009E53C0" w:rsidP="000D30FE">
      <w:pPr>
        <w:pStyle w:val="ECHRPara"/>
        <w:rPr>
          <w:rFonts w:eastAsia="Times New Roman"/>
          <w:snapToGrid w:val="0"/>
          <w:lang w:val="pl-PL"/>
        </w:rPr>
      </w:pPr>
      <w:r w:rsidRPr="00977945">
        <w:rPr>
          <w:rFonts w:eastAsia="Times New Roman"/>
          <w:snapToGrid w:val="0"/>
          <w:lang w:val="pl-PL"/>
        </w:rPr>
        <w:t>118.</w:t>
      </w:r>
      <w:r>
        <w:rPr>
          <w:rFonts w:eastAsia="Times New Roman"/>
          <w:snapToGrid w:val="0"/>
          <w:lang w:val="pl-PL"/>
        </w:rPr>
        <w:t xml:space="preserve"> </w:t>
      </w:r>
      <w:r w:rsidRPr="00977945">
        <w:rPr>
          <w:rFonts w:eastAsia="Times New Roman"/>
          <w:snapToGrid w:val="0"/>
          <w:lang w:val="pl-PL"/>
        </w:rPr>
        <w:t>Po pierwsze, w czasie zaistnienia okoliczności faktycznych sprawy art. 249</w:t>
      </w:r>
      <w:r w:rsidRPr="00977945">
        <w:rPr>
          <w:rFonts w:eastAsia="Times New Roman"/>
          <w:snapToGrid w:val="0"/>
          <w:vertAlign w:val="superscript"/>
          <w:lang w:val="pl-PL"/>
        </w:rPr>
        <w:t xml:space="preserve">1 </w:t>
      </w:r>
      <w:r w:rsidRPr="00977945">
        <w:rPr>
          <w:rFonts w:eastAsia="Times New Roman"/>
          <w:snapToGrid w:val="0"/>
          <w:lang w:val="pl-PL"/>
        </w:rPr>
        <w:t>kpk przewidywał, że postanowienie, w którym prokuratura zastosowała art. 10 (b</w:t>
      </w:r>
      <w:r w:rsidRPr="00977945">
        <w:rPr>
          <w:rFonts w:eastAsia="Times New Roman"/>
          <w:snapToGrid w:val="0"/>
          <w:vertAlign w:val="superscript"/>
          <w:lang w:val="pl-PL"/>
        </w:rPr>
        <w:t>1</w:t>
      </w:r>
      <w:r w:rsidRPr="00977945">
        <w:rPr>
          <w:rFonts w:eastAsia="Times New Roman"/>
          <w:snapToGrid w:val="0"/>
          <w:lang w:val="pl-PL"/>
        </w:rPr>
        <w:t>) kpk i w drodze którego nałożyła karę, może zostać zaskarżone w terminie dwudziestu dni od dnia, w którym osoba zainteresowana została powiadomiona o postanowieniu. Trybunał zauważ</w:t>
      </w:r>
      <w:r w:rsidR="00432D1E">
        <w:rPr>
          <w:rFonts w:eastAsia="Times New Roman"/>
          <w:snapToGrid w:val="0"/>
          <w:lang w:val="pl-PL"/>
        </w:rPr>
        <w:t>a</w:t>
      </w:r>
      <w:r w:rsidRPr="00977945">
        <w:rPr>
          <w:rFonts w:eastAsia="Times New Roman"/>
          <w:snapToGrid w:val="0"/>
          <w:lang w:val="pl-PL"/>
        </w:rPr>
        <w:t>, że ten środek odwoławczy miał podstawę prawną w prawie krajowym. Co</w:t>
      </w:r>
      <w:r w:rsidR="001F5A65">
        <w:rPr>
          <w:rFonts w:eastAsia="Times New Roman"/>
          <w:snapToGrid w:val="0"/>
          <w:lang w:val="pl-PL"/>
        </w:rPr>
        <w:t> </w:t>
      </w:r>
      <w:r w:rsidRPr="00977945">
        <w:rPr>
          <w:rFonts w:eastAsia="Times New Roman"/>
          <w:snapToGrid w:val="0"/>
          <w:lang w:val="pl-PL"/>
        </w:rPr>
        <w:t>do</w:t>
      </w:r>
      <w:r w:rsidR="001F5A65">
        <w:rPr>
          <w:rFonts w:eastAsia="Times New Roman"/>
          <w:snapToGrid w:val="0"/>
          <w:lang w:val="pl-PL"/>
        </w:rPr>
        <w:t> </w:t>
      </w:r>
      <w:r w:rsidRPr="00977945">
        <w:rPr>
          <w:rFonts w:eastAsia="Times New Roman"/>
          <w:snapToGrid w:val="0"/>
          <w:lang w:val="pl-PL"/>
        </w:rPr>
        <w:t>jakości prawa regulującego przedmiotowy środek odwoławczy, należy zauważyć, że tekst art. 249</w:t>
      </w:r>
      <w:r w:rsidRPr="00977945">
        <w:rPr>
          <w:rFonts w:eastAsia="Times New Roman"/>
          <w:snapToGrid w:val="0"/>
          <w:vertAlign w:val="superscript"/>
          <w:lang w:val="pl-PL"/>
        </w:rPr>
        <w:t>1</w:t>
      </w:r>
      <w:r w:rsidRPr="00977945">
        <w:rPr>
          <w:rFonts w:eastAsia="Times New Roman"/>
          <w:snapToGrid w:val="0"/>
          <w:lang w:val="pl-PL"/>
        </w:rPr>
        <w:t xml:space="preserve"> był dostępny dla skarżącego, ponieważ stanowił część kpk, który z kolei został opublikowany w Dzienniku Urzędowym. Artykuł 249</w:t>
      </w:r>
      <w:r w:rsidRPr="00977945">
        <w:rPr>
          <w:rFonts w:eastAsia="Times New Roman"/>
          <w:snapToGrid w:val="0"/>
          <w:vertAlign w:val="superscript"/>
          <w:lang w:val="pl-PL"/>
        </w:rPr>
        <w:t>1</w:t>
      </w:r>
      <w:r w:rsidRPr="00977945">
        <w:rPr>
          <w:rFonts w:eastAsia="Times New Roman"/>
          <w:snapToGrid w:val="0"/>
          <w:lang w:val="pl-PL"/>
        </w:rPr>
        <w:t xml:space="preserve"> wyraźnie stanowił, że jeżeli postanowienie o</w:t>
      </w:r>
      <w:r w:rsidR="000F46C5">
        <w:rPr>
          <w:rFonts w:eastAsia="Times New Roman"/>
          <w:snapToGrid w:val="0"/>
          <w:lang w:val="pl-PL"/>
        </w:rPr>
        <w:t xml:space="preserve"> </w:t>
      </w:r>
      <w:r w:rsidRPr="00977945">
        <w:rPr>
          <w:rFonts w:eastAsia="Times New Roman"/>
          <w:snapToGrid w:val="0"/>
          <w:lang w:val="pl-PL"/>
        </w:rPr>
        <w:t>umorzeniu postępowania opierało się na art. 10 (b</w:t>
      </w:r>
      <w:r w:rsidRPr="00977945">
        <w:rPr>
          <w:rFonts w:eastAsia="Times New Roman"/>
          <w:snapToGrid w:val="0"/>
          <w:vertAlign w:val="superscript"/>
          <w:lang w:val="pl-PL"/>
        </w:rPr>
        <w:t>1</w:t>
      </w:r>
      <w:r w:rsidRPr="00977945">
        <w:rPr>
          <w:rFonts w:eastAsia="Times New Roman"/>
          <w:snapToGrid w:val="0"/>
          <w:lang w:val="pl-PL"/>
        </w:rPr>
        <w:t>) kpk, osoba zainteresowana mogła je zaskarżyć w drodze odwołania, które należało wnieść w terminie określonym przez ustawę. Jeżeli po upływie tego terminu nie wniesiono odwołania, postanowienie stało się wykonalne.</w:t>
      </w:r>
    </w:p>
    <w:p w14:paraId="1A3FBD90" w14:textId="54495A24" w:rsidR="009E53C0" w:rsidRPr="00977945" w:rsidRDefault="009E53C0" w:rsidP="000D30FE">
      <w:pPr>
        <w:pStyle w:val="ECHRPara"/>
        <w:rPr>
          <w:rFonts w:eastAsia="Times New Roman"/>
          <w:snapToGrid w:val="0"/>
          <w:lang w:val="pl-PL"/>
        </w:rPr>
      </w:pPr>
      <w:r w:rsidRPr="00977945">
        <w:rPr>
          <w:rFonts w:eastAsia="Times New Roman"/>
          <w:snapToGrid w:val="0"/>
          <w:lang w:val="pl-PL"/>
        </w:rPr>
        <w:t>119.</w:t>
      </w:r>
      <w:r>
        <w:rPr>
          <w:rFonts w:eastAsia="Times New Roman"/>
          <w:snapToGrid w:val="0"/>
          <w:lang w:val="pl-PL"/>
        </w:rPr>
        <w:t xml:space="preserve"> </w:t>
      </w:r>
      <w:r w:rsidRPr="00977945">
        <w:rPr>
          <w:rFonts w:eastAsia="Times New Roman"/>
          <w:snapToGrid w:val="0"/>
          <w:lang w:val="pl-PL"/>
        </w:rPr>
        <w:t>Trybunał zauważa również, że środek odwoławczy przewidziany w</w:t>
      </w:r>
      <w:r w:rsidR="001F5A65">
        <w:rPr>
          <w:rFonts w:eastAsia="Times New Roman"/>
          <w:snapToGrid w:val="0"/>
          <w:lang w:val="pl-PL"/>
        </w:rPr>
        <w:t> </w:t>
      </w:r>
      <w:r w:rsidRPr="00977945">
        <w:rPr>
          <w:rFonts w:eastAsia="Times New Roman"/>
          <w:snapToGrid w:val="0"/>
          <w:lang w:val="pl-PL"/>
        </w:rPr>
        <w:t>art. 241</w:t>
      </w:r>
      <w:r w:rsidRPr="00977945">
        <w:rPr>
          <w:rFonts w:eastAsia="Times New Roman"/>
          <w:snapToGrid w:val="0"/>
          <w:vertAlign w:val="superscript"/>
          <w:lang w:val="pl-PL"/>
        </w:rPr>
        <w:t xml:space="preserve">1 </w:t>
      </w:r>
      <w:r w:rsidRPr="00977945">
        <w:rPr>
          <w:rFonts w:eastAsia="Times New Roman"/>
          <w:snapToGrid w:val="0"/>
          <w:lang w:val="pl-PL"/>
        </w:rPr>
        <w:t>kpk był bezpośrednio dostępny dla skarżącego, który mógł zaskarżyć karę w jasno określonym terminie. Gdyby skarżący uznał za</w:t>
      </w:r>
      <w:r w:rsidR="001F5A65">
        <w:rPr>
          <w:rFonts w:eastAsia="Times New Roman"/>
          <w:snapToGrid w:val="0"/>
          <w:lang w:val="pl-PL"/>
        </w:rPr>
        <w:t> </w:t>
      </w:r>
      <w:r w:rsidRPr="00977945">
        <w:rPr>
          <w:rFonts w:eastAsia="Times New Roman"/>
          <w:snapToGrid w:val="0"/>
          <w:lang w:val="pl-PL"/>
        </w:rPr>
        <w:t>stosowne skorzystać z tego środka odwoławczego, mogłoby to doprowadzić do ponownego rozpatrzenia zasadności postanowienia i</w:t>
      </w:r>
      <w:r w:rsidR="001F5A65">
        <w:rPr>
          <w:rFonts w:eastAsia="Times New Roman"/>
          <w:snapToGrid w:val="0"/>
          <w:lang w:val="pl-PL"/>
        </w:rPr>
        <w:t> </w:t>
      </w:r>
      <w:r w:rsidRPr="00977945">
        <w:rPr>
          <w:rFonts w:eastAsia="Times New Roman"/>
          <w:snapToGrid w:val="0"/>
          <w:lang w:val="pl-PL"/>
        </w:rPr>
        <w:t>nałożonej sankcji. W związku z tym Trybunał uważa, że ten środek zaskarżenia postanowienia prokuratora jest zbliżony do „zwyczajnego” środka odwoławczego w</w:t>
      </w:r>
      <w:r w:rsidR="000F46C5">
        <w:rPr>
          <w:rFonts w:eastAsia="Times New Roman"/>
          <w:snapToGrid w:val="0"/>
          <w:lang w:val="pl-PL"/>
        </w:rPr>
        <w:t xml:space="preserve"> </w:t>
      </w:r>
      <w:r w:rsidRPr="00977945">
        <w:rPr>
          <w:rFonts w:eastAsia="Times New Roman"/>
          <w:snapToGrid w:val="0"/>
          <w:lang w:val="pl-PL"/>
        </w:rPr>
        <w:t>rozumieniu jego orzecznictwa i że należy go wziąć pod uwagę przy określaniu „prawomocnego” orzeczenia w niniejszej sprawie.</w:t>
      </w:r>
    </w:p>
    <w:p w14:paraId="1A5808FE" w14:textId="7A381E1B" w:rsidR="009E53C0" w:rsidRPr="00977945" w:rsidRDefault="009E53C0" w:rsidP="000D30FE">
      <w:pPr>
        <w:pStyle w:val="ECHRPara"/>
        <w:rPr>
          <w:lang w:val="pl-PL"/>
        </w:rPr>
      </w:pPr>
      <w:r w:rsidRPr="00977945">
        <w:rPr>
          <w:lang w:val="pl-PL"/>
        </w:rPr>
        <w:t>120.</w:t>
      </w:r>
      <w:r>
        <w:rPr>
          <w:lang w:val="pl-PL"/>
        </w:rPr>
        <w:t xml:space="preserve"> </w:t>
      </w:r>
      <w:r w:rsidRPr="00977945">
        <w:rPr>
          <w:lang w:val="pl-PL"/>
        </w:rPr>
        <w:t xml:space="preserve">Po drugie, w czasie zaistnienia okoliczności faktycznych sprawy, prokuratura wyższego szczebla miała możliwość wydania postanowienia </w:t>
      </w:r>
      <w:r w:rsidRPr="00977945">
        <w:rPr>
          <w:lang w:val="pl-PL"/>
        </w:rPr>
        <w:lastRenderedPageBreak/>
        <w:t>o</w:t>
      </w:r>
      <w:r w:rsidR="001F5A65">
        <w:rPr>
          <w:lang w:val="pl-PL"/>
        </w:rPr>
        <w:t> </w:t>
      </w:r>
      <w:r w:rsidR="00A877B6">
        <w:rPr>
          <w:lang w:val="pl-PL"/>
        </w:rPr>
        <w:t>podjęciu</w:t>
      </w:r>
      <w:r w:rsidR="000D63DC">
        <w:rPr>
          <w:lang w:val="pl-PL"/>
        </w:rPr>
        <w:t xml:space="preserve"> </w:t>
      </w:r>
      <w:r w:rsidR="000D63DC">
        <w:rPr>
          <w:lang w:val="pl-PL"/>
        </w:rPr>
        <w:t>na nowo</w:t>
      </w:r>
      <w:r w:rsidR="00A877B6">
        <w:rPr>
          <w:lang w:val="pl-PL"/>
        </w:rPr>
        <w:t xml:space="preserve"> </w:t>
      </w:r>
      <w:r w:rsidRPr="00977945">
        <w:rPr>
          <w:lang w:val="pl-PL"/>
        </w:rPr>
        <w:t>postępowania na podstawie art. 270 i 273 kpk w</w:t>
      </w:r>
      <w:r w:rsidR="001F5A65">
        <w:rPr>
          <w:lang w:val="pl-PL"/>
        </w:rPr>
        <w:t> </w:t>
      </w:r>
      <w:r w:rsidRPr="00977945">
        <w:rPr>
          <w:lang w:val="pl-PL"/>
        </w:rPr>
        <w:t>ówczesnym brzmieniu, po uprzednim umorzeniu postępowania, nawet jeśli podstawą postanowienia o umorzeniu był art. 10 (b</w:t>
      </w:r>
      <w:r w:rsidRPr="00977945">
        <w:rPr>
          <w:vertAlign w:val="superscript"/>
          <w:lang w:val="pl-PL"/>
        </w:rPr>
        <w:t>1</w:t>
      </w:r>
      <w:r w:rsidRPr="00977945">
        <w:rPr>
          <w:lang w:val="pl-PL"/>
        </w:rPr>
        <w:t xml:space="preserve">) kpk i orzeczono karę. Przed podjęciem decyzji o </w:t>
      </w:r>
      <w:r w:rsidR="00A877B6">
        <w:rPr>
          <w:lang w:val="pl-PL"/>
        </w:rPr>
        <w:t>podjęciu</w:t>
      </w:r>
      <w:r w:rsidRPr="00977945">
        <w:rPr>
          <w:lang w:val="pl-PL"/>
        </w:rPr>
        <w:t xml:space="preserve"> </w:t>
      </w:r>
      <w:r w:rsidR="000D63DC">
        <w:rPr>
          <w:lang w:val="pl-PL"/>
        </w:rPr>
        <w:t xml:space="preserve">na nowo </w:t>
      </w:r>
      <w:r w:rsidRPr="00977945">
        <w:rPr>
          <w:lang w:val="pl-PL"/>
        </w:rPr>
        <w:t>postępowania w tym drugim przypadku konieczne było uchylenie nałożonej kary. Ten środek odwoławczy miał również podstawę prawną w prawie krajowym, a art. 270 i</w:t>
      </w:r>
      <w:r w:rsidR="001F5A65">
        <w:rPr>
          <w:lang w:val="pl-PL"/>
        </w:rPr>
        <w:t> </w:t>
      </w:r>
      <w:r w:rsidRPr="00977945">
        <w:rPr>
          <w:lang w:val="pl-PL"/>
        </w:rPr>
        <w:t>273 kpk były dostępne dla skarżącego, ponieważ zostały opublikowane w</w:t>
      </w:r>
      <w:r w:rsidR="001F5A65">
        <w:rPr>
          <w:lang w:val="pl-PL"/>
        </w:rPr>
        <w:t> </w:t>
      </w:r>
      <w:r w:rsidRPr="00977945">
        <w:rPr>
          <w:lang w:val="pl-PL"/>
        </w:rPr>
        <w:t>Dzienniku Urzędowym.</w:t>
      </w:r>
    </w:p>
    <w:p w14:paraId="3E5DBD48" w14:textId="3B2B7238" w:rsidR="009E53C0" w:rsidRPr="00977945" w:rsidRDefault="009E53C0" w:rsidP="000D30FE">
      <w:pPr>
        <w:pStyle w:val="ECHRPara"/>
        <w:rPr>
          <w:lang w:val="pl-PL"/>
        </w:rPr>
      </w:pPr>
      <w:r w:rsidRPr="00977945">
        <w:rPr>
          <w:lang w:val="pl-PL"/>
        </w:rPr>
        <w:t>121.</w:t>
      </w:r>
      <w:r>
        <w:rPr>
          <w:lang w:val="pl-PL"/>
        </w:rPr>
        <w:t xml:space="preserve"> </w:t>
      </w:r>
      <w:r w:rsidRPr="00977945">
        <w:rPr>
          <w:lang w:val="pl-PL"/>
        </w:rPr>
        <w:t>Należy zatem zbadać, czy ten środek odwoławczy, polegający na</w:t>
      </w:r>
      <w:r w:rsidR="001F5A65">
        <w:rPr>
          <w:lang w:val="pl-PL"/>
        </w:rPr>
        <w:t> </w:t>
      </w:r>
      <w:r w:rsidRPr="00977945">
        <w:rPr>
          <w:lang w:val="pl-PL"/>
        </w:rPr>
        <w:t xml:space="preserve">możliwości uchylenia przez prokuraturę wyższego szczebla orzeczonej kary i wznowienia postępowania, może być uznany za „zwyczajny” środek odwoławczy spełniający wymogi pewności prawa </w:t>
      </w:r>
      <w:r w:rsidRPr="00977945">
        <w:rPr>
          <w:snapToGrid w:val="0"/>
          <w:lang w:val="pl-PL"/>
        </w:rPr>
        <w:t xml:space="preserve">(zob. </w:t>
      </w:r>
      <w:r w:rsidRPr="00977945">
        <w:rPr>
          <w:i/>
          <w:iCs/>
          <w:snapToGrid w:val="0"/>
          <w:lang w:val="pl-PL"/>
        </w:rPr>
        <w:t>Nikitin</w:t>
      </w:r>
      <w:r w:rsidRPr="00977945">
        <w:rPr>
          <w:snapToGrid w:val="0"/>
          <w:lang w:val="pl-PL"/>
        </w:rPr>
        <w:t xml:space="preserve">, </w:t>
      </w:r>
      <w:r w:rsidRPr="00977945">
        <w:rPr>
          <w:i/>
          <w:iCs/>
          <w:snapToGrid w:val="0"/>
          <w:lang w:val="pl-PL"/>
        </w:rPr>
        <w:t>op.</w:t>
      </w:r>
      <w:r>
        <w:rPr>
          <w:i/>
          <w:iCs/>
          <w:snapToGrid w:val="0"/>
          <w:lang w:val="pl-PL"/>
        </w:rPr>
        <w:t xml:space="preserve"> </w:t>
      </w:r>
      <w:r w:rsidRPr="00977945">
        <w:rPr>
          <w:i/>
          <w:iCs/>
          <w:snapToGrid w:val="0"/>
          <w:lang w:val="pl-PL"/>
        </w:rPr>
        <w:t>cit.</w:t>
      </w:r>
      <w:r w:rsidRPr="00977945">
        <w:rPr>
          <w:snapToGrid w:val="0"/>
          <w:lang w:val="pl-PL"/>
        </w:rPr>
        <w:t>, §</w:t>
      </w:r>
      <w:r w:rsidR="001F5A65">
        <w:rPr>
          <w:snapToGrid w:val="0"/>
          <w:lang w:val="pl-PL"/>
        </w:rPr>
        <w:t> </w:t>
      </w:r>
      <w:r w:rsidRPr="00977945">
        <w:rPr>
          <w:snapToGrid w:val="0"/>
          <w:lang w:val="pl-PL"/>
        </w:rPr>
        <w:t>39)</w:t>
      </w:r>
      <w:r w:rsidRPr="00977945">
        <w:rPr>
          <w:lang w:val="pl-PL"/>
        </w:rPr>
        <w:t>.</w:t>
      </w:r>
    </w:p>
    <w:p w14:paraId="2D335829" w14:textId="0CC99BD3" w:rsidR="009E53C0" w:rsidRPr="00977945" w:rsidRDefault="009E53C0" w:rsidP="000D30FE">
      <w:pPr>
        <w:pStyle w:val="ECHRPara"/>
        <w:rPr>
          <w:lang w:val="pl-PL"/>
        </w:rPr>
      </w:pPr>
      <w:r w:rsidRPr="00977945">
        <w:rPr>
          <w:lang w:val="pl-PL"/>
        </w:rPr>
        <w:t>122.</w:t>
      </w:r>
      <w:r>
        <w:rPr>
          <w:lang w:val="pl-PL"/>
        </w:rPr>
        <w:t xml:space="preserve"> </w:t>
      </w:r>
      <w:r w:rsidRPr="00977945">
        <w:rPr>
          <w:lang w:val="pl-PL"/>
        </w:rPr>
        <w:t>W związku z tym Trybunał nie może pominąć bardzo szczególnego kontekstu niniejszej sprawy, który dotyczy etapu postępowania karnego przed przekazaniem sprawy do sądu. Mając na uwadze zasady pracy prokuratury i jej rolę w początkowych fazach postępowania karnego, zbadanie przez prokuraturę wyższego szczebla</w:t>
      </w:r>
      <w:r w:rsidR="00A877B6" w:rsidRPr="00A877B6">
        <w:rPr>
          <w:lang w:val="pl-PL"/>
        </w:rPr>
        <w:t xml:space="preserve"> </w:t>
      </w:r>
      <w:r w:rsidR="00A877B6" w:rsidRPr="00977945">
        <w:rPr>
          <w:lang w:val="pl-PL"/>
        </w:rPr>
        <w:t>z własnej inicjatywy</w:t>
      </w:r>
      <w:r w:rsidRPr="00977945">
        <w:rPr>
          <w:lang w:val="pl-PL"/>
        </w:rPr>
        <w:t>, w</w:t>
      </w:r>
      <w:r w:rsidR="001F5A65">
        <w:rPr>
          <w:lang w:val="pl-PL"/>
        </w:rPr>
        <w:t> </w:t>
      </w:r>
      <w:r w:rsidRPr="00977945">
        <w:rPr>
          <w:lang w:val="pl-PL"/>
        </w:rPr>
        <w:t>ramach nadzoru hierarchicznego, zasadności decyzji podjętych przez prokuraturę niższego szczebla nie jest pozbawione podstaw.</w:t>
      </w:r>
    </w:p>
    <w:p w14:paraId="25C9F10A" w14:textId="2D6B9A16" w:rsidR="009E53C0" w:rsidRPr="00977945" w:rsidRDefault="009E53C0" w:rsidP="000D30FE">
      <w:pPr>
        <w:pStyle w:val="ECHRPara"/>
        <w:rPr>
          <w:lang w:val="pl-PL"/>
        </w:rPr>
      </w:pPr>
      <w:r w:rsidRPr="00977945">
        <w:rPr>
          <w:lang w:val="pl-PL"/>
        </w:rPr>
        <w:t>123.</w:t>
      </w:r>
      <w:r>
        <w:rPr>
          <w:lang w:val="pl-PL"/>
        </w:rPr>
        <w:t xml:space="preserve"> </w:t>
      </w:r>
      <w:r w:rsidRPr="00977945">
        <w:rPr>
          <w:lang w:val="pl-PL"/>
        </w:rPr>
        <w:t>Możliwość, którą dysponowała prokuratura wyższego szczebla, polegała na ponownym zbadaniu konkretnej sprawy na podstawie tych samych faktów i tych samych dowodów, które legły u podstaw</w:t>
      </w:r>
      <w:r w:rsidR="00A877B6">
        <w:rPr>
          <w:lang w:val="pl-PL"/>
        </w:rPr>
        <w:t xml:space="preserve"> pierwotnej</w:t>
      </w:r>
      <w:r w:rsidRPr="00977945">
        <w:rPr>
          <w:lang w:val="pl-PL"/>
        </w:rPr>
        <w:t xml:space="preserve"> decyzji prokuratora o zakończeniu postępowania karnego po dokonaniu oceny stopnia zagrożenia dla społeczeństwa spowodowanego przestępstwem oraz nałożeniu kary zakwalifikowanej jako administracyjna zgodnie z</w:t>
      </w:r>
      <w:r w:rsidR="001F5A65">
        <w:rPr>
          <w:lang w:val="pl-PL"/>
        </w:rPr>
        <w:t> </w:t>
      </w:r>
      <w:r w:rsidRPr="00977945">
        <w:rPr>
          <w:lang w:val="pl-PL"/>
        </w:rPr>
        <w:t>prawem krajowym.</w:t>
      </w:r>
    </w:p>
    <w:p w14:paraId="4F30E5CC" w14:textId="5EC9E5D2" w:rsidR="009E53C0" w:rsidRPr="00977945" w:rsidRDefault="009E53C0" w:rsidP="000D30FE">
      <w:pPr>
        <w:pStyle w:val="ECHRPara"/>
        <w:rPr>
          <w:lang w:val="pl-PL"/>
        </w:rPr>
      </w:pPr>
      <w:r w:rsidRPr="00977945">
        <w:rPr>
          <w:lang w:val="pl-PL"/>
        </w:rPr>
        <w:t>124.</w:t>
      </w:r>
      <w:r>
        <w:rPr>
          <w:lang w:val="pl-PL"/>
        </w:rPr>
        <w:t xml:space="preserve"> </w:t>
      </w:r>
      <w:r w:rsidRPr="00977945">
        <w:rPr>
          <w:lang w:val="pl-PL"/>
        </w:rPr>
        <w:t>W niniejszej sprawie środek odwoławczy przysługujący zainteresowanym stronom</w:t>
      </w:r>
      <w:r>
        <w:rPr>
          <w:lang w:val="pl-PL"/>
        </w:rPr>
        <w:t xml:space="preserve"> </w:t>
      </w:r>
      <w:r w:rsidRPr="00977945">
        <w:rPr>
          <w:lang w:val="pl-PL"/>
        </w:rPr>
        <w:t>i środek odwoławczy przysługujący prokuraturze wyższego szczebla na podstawie art. 270 i 273 kpk miały ten sam cel, jakim było zakwestionowanie ważności kary nałożonej na skarżącego przez pierwotnie orzekającą prokuraturę w dniu 7 sierpnia 2008 r. W odniesieniu do korzystania ze środków odwoławczych mających ten sam cel, prawo w</w:t>
      </w:r>
      <w:r w:rsidR="001F5A65">
        <w:rPr>
          <w:lang w:val="pl-PL"/>
        </w:rPr>
        <w:t> </w:t>
      </w:r>
      <w:r w:rsidRPr="00977945">
        <w:rPr>
          <w:lang w:val="pl-PL"/>
        </w:rPr>
        <w:t>czasie właściwym dla okoliczności faktycznych sprawy przewidywało różne warunki w zależności od ich potencjalnych użytkowników: podczas gdy skarżący musiał skorzystać ze środka odwoławczego w ciągu dwudziestu dni, prokuratura wyższego szczebla nie była związana żadnym terminem na</w:t>
      </w:r>
      <w:r w:rsidR="001F5A65">
        <w:rPr>
          <w:lang w:val="pl-PL"/>
        </w:rPr>
        <w:t> </w:t>
      </w:r>
      <w:r w:rsidRPr="00977945">
        <w:rPr>
          <w:lang w:val="pl-PL"/>
        </w:rPr>
        <w:t>ponowne rozpatrzenie zasadności decyzji. Trybunał przyznaje, że</w:t>
      </w:r>
      <w:r w:rsidR="001F5A65">
        <w:rPr>
          <w:lang w:val="pl-PL"/>
        </w:rPr>
        <w:t> </w:t>
      </w:r>
      <w:r w:rsidRPr="00977945">
        <w:rPr>
          <w:lang w:val="pl-PL"/>
        </w:rPr>
        <w:t>ze</w:t>
      </w:r>
      <w:r w:rsidR="001F5A65">
        <w:rPr>
          <w:lang w:val="pl-PL"/>
        </w:rPr>
        <w:t> </w:t>
      </w:r>
      <w:r w:rsidRPr="00977945">
        <w:rPr>
          <w:lang w:val="pl-PL"/>
        </w:rPr>
        <w:t>względu na swoje uprawnienia i rolę w</w:t>
      </w:r>
      <w:r w:rsidR="000F46C5">
        <w:rPr>
          <w:lang w:val="pl-PL"/>
        </w:rPr>
        <w:t xml:space="preserve"> </w:t>
      </w:r>
      <w:r w:rsidRPr="00977945">
        <w:rPr>
          <w:lang w:val="pl-PL"/>
        </w:rPr>
        <w:t>prawidłowym wymierzaniu sprawiedliwości w sprawach karnych, prokuratura mogła mieć prawo do</w:t>
      </w:r>
      <w:r w:rsidR="001F5A65">
        <w:rPr>
          <w:lang w:val="pl-PL"/>
        </w:rPr>
        <w:t> </w:t>
      </w:r>
      <w:r w:rsidRPr="00977945">
        <w:rPr>
          <w:lang w:val="pl-PL"/>
        </w:rPr>
        <w:t>innych warunków przy przeprowadzaniu kontroli. Niemniej pozostaje faktem, że ze względu na brak wyznaczonego terminu, prawo rumuńskie nie</w:t>
      </w:r>
      <w:r w:rsidR="001F5A65">
        <w:rPr>
          <w:lang w:val="pl-PL"/>
        </w:rPr>
        <w:t> </w:t>
      </w:r>
      <w:r w:rsidRPr="00977945">
        <w:rPr>
          <w:lang w:val="pl-PL"/>
        </w:rPr>
        <w:t xml:space="preserve">regulowało wystarczająco jasno sposobu korzystania z tego środka, powodując tym samym rzeczywistą niepewność co do sytuacji prawnej </w:t>
      </w:r>
      <w:r w:rsidRPr="00977945">
        <w:rPr>
          <w:lang w:val="pl-PL"/>
        </w:rPr>
        <w:lastRenderedPageBreak/>
        <w:t>skarżącego (zob. paragraf 112 powyżej), oraz że</w:t>
      </w:r>
      <w:r w:rsidR="000F46C5">
        <w:rPr>
          <w:lang w:val="pl-PL"/>
        </w:rPr>
        <w:t xml:space="preserve"> </w:t>
      </w:r>
      <w:r w:rsidRPr="00977945">
        <w:rPr>
          <w:lang w:val="pl-PL"/>
        </w:rPr>
        <w:t xml:space="preserve">rozbieżność ta doprowadziła do poważnej nierównowagi między stronami w zakresie możliwości skorzystania z przedmiotowych środków, co postawiło skarżącego w sytuacji niepewności prawa (zob. paragraf 115 </w:t>
      </w:r>
      <w:r w:rsidRPr="00977945">
        <w:rPr>
          <w:i/>
          <w:iCs/>
          <w:lang w:val="pl-PL"/>
        </w:rPr>
        <w:t>in fine</w:t>
      </w:r>
      <w:r w:rsidRPr="00977945">
        <w:rPr>
          <w:lang w:val="pl-PL"/>
        </w:rPr>
        <w:t xml:space="preserve"> powyżej).</w:t>
      </w:r>
    </w:p>
    <w:p w14:paraId="21ECA2CC" w14:textId="02827F3C" w:rsidR="009E53C0" w:rsidRPr="00977945" w:rsidRDefault="009E53C0" w:rsidP="000D30FE">
      <w:pPr>
        <w:pStyle w:val="ECHRPara"/>
        <w:rPr>
          <w:lang w:val="pl-PL"/>
        </w:rPr>
      </w:pPr>
      <w:r w:rsidRPr="00977945">
        <w:rPr>
          <w:lang w:val="pl-PL"/>
        </w:rPr>
        <w:t>125.</w:t>
      </w:r>
      <w:r>
        <w:rPr>
          <w:lang w:val="pl-PL"/>
        </w:rPr>
        <w:t xml:space="preserve"> </w:t>
      </w:r>
      <w:r w:rsidRPr="00977945">
        <w:rPr>
          <w:lang w:val="pl-PL"/>
        </w:rPr>
        <w:t>W związku z tym możliwość dostępna na podstawie art. 270 i 273 kpk w brzmieniu obowiązującym w czasie zaistnienia okoliczności faktycznych nie stanowiła „zwyczajnego środka odwoławczego”, który należałoby wziąć pod uwagę przy ustalaniu, czy skazanie skarżącego na</w:t>
      </w:r>
      <w:r w:rsidR="001F5A65">
        <w:rPr>
          <w:lang w:val="pl-PL"/>
        </w:rPr>
        <w:t> </w:t>
      </w:r>
      <w:r w:rsidRPr="00977945">
        <w:rPr>
          <w:lang w:val="pl-PL"/>
        </w:rPr>
        <w:t>podstawie postanowienia wydanego przez prokuraturę niższego szczebla w</w:t>
      </w:r>
      <w:r w:rsidR="000F46C5">
        <w:rPr>
          <w:lang w:val="pl-PL"/>
        </w:rPr>
        <w:t xml:space="preserve"> </w:t>
      </w:r>
      <w:r w:rsidRPr="00977945">
        <w:rPr>
          <w:lang w:val="pl-PL"/>
        </w:rPr>
        <w:t>dniu 7 sierpnia 2008 r. było prawomocne „</w:t>
      </w:r>
      <w:r w:rsidR="0044329B">
        <w:rPr>
          <w:lang w:val="pl-PL"/>
        </w:rPr>
        <w:t xml:space="preserve">zgodnie </w:t>
      </w:r>
      <w:r w:rsidRPr="00977945">
        <w:rPr>
          <w:lang w:val="pl-PL"/>
        </w:rPr>
        <w:t xml:space="preserve">z ustawą i zasadami postępowania karnego [tego] </w:t>
      </w:r>
      <w:r>
        <w:rPr>
          <w:lang w:val="pl-PL"/>
        </w:rPr>
        <w:t>p</w:t>
      </w:r>
      <w:r w:rsidRPr="00977945">
        <w:rPr>
          <w:lang w:val="pl-PL"/>
        </w:rPr>
        <w:t>aństwa”.</w:t>
      </w:r>
    </w:p>
    <w:p w14:paraId="0E2E1DDD" w14:textId="3D6E5C79" w:rsidR="009E53C0" w:rsidRPr="00977945" w:rsidRDefault="009E53C0" w:rsidP="000D30FE">
      <w:pPr>
        <w:pStyle w:val="ECHRPara"/>
        <w:rPr>
          <w:lang w:val="pl-PL"/>
        </w:rPr>
      </w:pPr>
      <w:r w:rsidRPr="00977945">
        <w:rPr>
          <w:lang w:val="pl-PL"/>
        </w:rPr>
        <w:t>126.</w:t>
      </w:r>
      <w:r>
        <w:rPr>
          <w:lang w:val="pl-PL"/>
        </w:rPr>
        <w:t xml:space="preserve"> </w:t>
      </w:r>
      <w:r w:rsidRPr="0044329B">
        <w:rPr>
          <w:lang w:val="pl-PL"/>
        </w:rPr>
        <w:t>Uwzględniając</w:t>
      </w:r>
      <w:r w:rsidRPr="00977945">
        <w:rPr>
          <w:lang w:val="pl-PL"/>
        </w:rPr>
        <w:t xml:space="preserve"> powyższe ustalenia, Trybunał uzna</w:t>
      </w:r>
      <w:r w:rsidR="006E44D7">
        <w:rPr>
          <w:lang w:val="pl-PL"/>
        </w:rPr>
        <w:t>je</w:t>
      </w:r>
      <w:r w:rsidRPr="00977945">
        <w:rPr>
          <w:lang w:val="pl-PL"/>
        </w:rPr>
        <w:t>, że jedynie możliwość określona w art. 249</w:t>
      </w:r>
      <w:r w:rsidRPr="00977945">
        <w:rPr>
          <w:vertAlign w:val="superscript"/>
          <w:lang w:val="pl-PL"/>
        </w:rPr>
        <w:t>1</w:t>
      </w:r>
      <w:r w:rsidRPr="00977945">
        <w:rPr>
          <w:lang w:val="pl-PL"/>
        </w:rPr>
        <w:t xml:space="preserve"> kpk w brzmieniu obowiązującym w czasie zaistnienia okoliczności faktycznych stanowiła „zwyczajny” środek odwoławczy, który należ</w:t>
      </w:r>
      <w:r w:rsidR="006E44D7">
        <w:rPr>
          <w:lang w:val="pl-PL"/>
        </w:rPr>
        <w:t>y</w:t>
      </w:r>
      <w:r w:rsidRPr="00977945">
        <w:rPr>
          <w:lang w:val="pl-PL"/>
        </w:rPr>
        <w:t xml:space="preserve"> uwzględnić przy określaniu „prawomocnego” orzeczenia. W niniejszej sprawie postanowienie prokuratora z dnia 7</w:t>
      </w:r>
      <w:r w:rsidR="000F46C5">
        <w:rPr>
          <w:lang w:val="pl-PL"/>
        </w:rPr>
        <w:t xml:space="preserve"> </w:t>
      </w:r>
      <w:r w:rsidRPr="00977945">
        <w:rPr>
          <w:lang w:val="pl-PL"/>
        </w:rPr>
        <w:t>sierpnia 2008 r. o ukaraniu skarżącego grzywną podlegało zaskarżeniu w</w:t>
      </w:r>
      <w:r w:rsidR="000F46C5">
        <w:rPr>
          <w:lang w:val="pl-PL"/>
        </w:rPr>
        <w:t xml:space="preserve"> </w:t>
      </w:r>
      <w:r w:rsidRPr="00977945">
        <w:rPr>
          <w:lang w:val="pl-PL"/>
        </w:rPr>
        <w:t>terminie dwudziestu dni od dnia, w którym skarżący został o nim powiadomiony. Skarżący nie uznał jednak za stosowne skorzystać ze środka odwoławczego przewidzianego w art. 249</w:t>
      </w:r>
      <w:r w:rsidRPr="00977945">
        <w:rPr>
          <w:vertAlign w:val="superscript"/>
          <w:lang w:val="pl-PL"/>
        </w:rPr>
        <w:t>1</w:t>
      </w:r>
      <w:r w:rsidRPr="00977945">
        <w:rPr>
          <w:lang w:val="pl-PL"/>
        </w:rPr>
        <w:t xml:space="preserve"> kpk. Chociaż data doręczenia mu postanowienia z dnia 7 sierpnia 2008 r. nie jest znana, to jednak zapoznał się z nim, umożliwił upływ dwudziestodniowego terminu przewidzianego w art. 249</w:t>
      </w:r>
      <w:r w:rsidRPr="00977945">
        <w:rPr>
          <w:vertAlign w:val="superscript"/>
          <w:lang w:val="pl-PL"/>
        </w:rPr>
        <w:t xml:space="preserve">1 </w:t>
      </w:r>
      <w:r w:rsidRPr="00977945">
        <w:rPr>
          <w:lang w:val="pl-PL"/>
        </w:rPr>
        <w:t>kpk i uiścił nałożoną grzywnę. Skarżący nie miał dostępu do innego zwyczajnego środka odwoławczego. W</w:t>
      </w:r>
      <w:r w:rsidR="000F46C5">
        <w:rPr>
          <w:lang w:val="pl-PL"/>
        </w:rPr>
        <w:t xml:space="preserve"> </w:t>
      </w:r>
      <w:r w:rsidRPr="00977945">
        <w:rPr>
          <w:lang w:val="pl-PL"/>
        </w:rPr>
        <w:t>konsekwencji</w:t>
      </w:r>
      <w:r w:rsidR="006E44D7">
        <w:rPr>
          <w:lang w:val="pl-PL"/>
        </w:rPr>
        <w:t>,</w:t>
      </w:r>
      <w:r w:rsidRPr="00977945">
        <w:rPr>
          <w:lang w:val="pl-PL"/>
        </w:rPr>
        <w:t xml:space="preserve"> </w:t>
      </w:r>
      <w:r w:rsidR="006E44D7" w:rsidRPr="00977945">
        <w:rPr>
          <w:lang w:val="pl-PL"/>
        </w:rPr>
        <w:t>w chwili, gdy</w:t>
      </w:r>
      <w:r w:rsidR="001F5A65">
        <w:rPr>
          <w:lang w:val="pl-PL"/>
        </w:rPr>
        <w:t> </w:t>
      </w:r>
      <w:r w:rsidR="006E44D7" w:rsidRPr="00977945">
        <w:rPr>
          <w:lang w:val="pl-PL"/>
        </w:rPr>
        <w:t>prokuratura wyższego szczebla skorzystała z przysługującego jej uznania w zakresie wznowienia postępowania karnego</w:t>
      </w:r>
      <w:r w:rsidR="006E44D7">
        <w:rPr>
          <w:lang w:val="pl-PL"/>
        </w:rPr>
        <w:t>,</w:t>
      </w:r>
      <w:r w:rsidR="006E44D7" w:rsidRPr="00977945">
        <w:rPr>
          <w:lang w:val="pl-PL"/>
        </w:rPr>
        <w:t xml:space="preserve"> </w:t>
      </w:r>
      <w:r w:rsidRPr="00977945">
        <w:rPr>
          <w:lang w:val="pl-PL"/>
        </w:rPr>
        <w:t xml:space="preserve">postanowienie z dnia 7 sierpnia 2008 r., w którym nałożono na skarżącego grzywnę, </w:t>
      </w:r>
      <w:r w:rsidR="006E44D7">
        <w:rPr>
          <w:lang w:val="pl-PL"/>
        </w:rPr>
        <w:t xml:space="preserve">było </w:t>
      </w:r>
      <w:r w:rsidRPr="00977945">
        <w:rPr>
          <w:lang w:val="pl-PL"/>
        </w:rPr>
        <w:t>„prawomocne</w:t>
      </w:r>
      <w:r>
        <w:rPr>
          <w:lang w:val="pl-PL"/>
        </w:rPr>
        <w:t>"</w:t>
      </w:r>
      <w:r w:rsidRPr="00977945">
        <w:rPr>
          <w:lang w:val="pl-PL"/>
        </w:rPr>
        <w:t>, w autonomicznym, przewidzianym w Konwencji rozumieniu tego terminu, po upływie dwudziestodniowego terminu przewidzianego w</w:t>
      </w:r>
      <w:r w:rsidR="001F5A65">
        <w:rPr>
          <w:lang w:val="pl-PL"/>
        </w:rPr>
        <w:t> </w:t>
      </w:r>
      <w:r w:rsidRPr="00977945">
        <w:rPr>
          <w:lang w:val="pl-PL"/>
        </w:rPr>
        <w:t>art. 249</w:t>
      </w:r>
      <w:r w:rsidRPr="00977945">
        <w:rPr>
          <w:vertAlign w:val="superscript"/>
          <w:lang w:val="pl-PL"/>
        </w:rPr>
        <w:t>1</w:t>
      </w:r>
      <w:r w:rsidR="006E44D7">
        <w:rPr>
          <w:lang w:val="pl-PL"/>
        </w:rPr>
        <w:t xml:space="preserve"> kpk</w:t>
      </w:r>
      <w:r w:rsidRPr="00977945">
        <w:rPr>
          <w:lang w:val="pl-PL"/>
        </w:rPr>
        <w:t>.</w:t>
      </w:r>
    </w:p>
    <w:p w14:paraId="1A3C7224" w14:textId="38164FC5" w:rsidR="009E53C0" w:rsidRPr="00977945" w:rsidRDefault="009E53C0" w:rsidP="000D30FE">
      <w:pPr>
        <w:pStyle w:val="ECHRHeading5"/>
        <w:rPr>
          <w:lang w:val="pl-PL"/>
        </w:rPr>
      </w:pPr>
      <w:r w:rsidRPr="00977945">
        <w:rPr>
          <w:lang w:val="pl-PL"/>
        </w:rPr>
        <w:t>(iii)</w:t>
      </w:r>
      <w:r>
        <w:rPr>
          <w:lang w:val="pl-PL"/>
        </w:rPr>
        <w:t xml:space="preserve"> </w:t>
      </w:r>
      <w:r w:rsidRPr="00977945">
        <w:rPr>
          <w:lang w:val="pl-PL"/>
        </w:rPr>
        <w:t>Czy powiel</w:t>
      </w:r>
      <w:r w:rsidR="006E44D7">
        <w:rPr>
          <w:lang w:val="pl-PL"/>
        </w:rPr>
        <w:t>e</w:t>
      </w:r>
      <w:r w:rsidRPr="00977945">
        <w:rPr>
          <w:lang w:val="pl-PL"/>
        </w:rPr>
        <w:t>nie postępowań było sprzeczne z art. 4 Protokołu nr 7</w:t>
      </w:r>
    </w:p>
    <w:p w14:paraId="1BF3942A" w14:textId="4DDE5FB4" w:rsidR="009E53C0" w:rsidRPr="00977945" w:rsidRDefault="009E53C0" w:rsidP="000D30FE">
      <w:pPr>
        <w:pStyle w:val="ECHRPara"/>
        <w:rPr>
          <w:lang w:val="pl-PL"/>
        </w:rPr>
      </w:pPr>
      <w:r w:rsidRPr="00977945">
        <w:rPr>
          <w:lang w:val="pl-PL"/>
        </w:rPr>
        <w:t>127.</w:t>
      </w:r>
      <w:r>
        <w:rPr>
          <w:lang w:val="pl-PL"/>
        </w:rPr>
        <w:t xml:space="preserve"> </w:t>
      </w:r>
      <w:r w:rsidRPr="00977945">
        <w:rPr>
          <w:lang w:val="pl-PL"/>
        </w:rPr>
        <w:t>Trybunał ustalił, że skarżący został skazany prawomocnym orzeczeniem na podstawie postanowienia z dnia 7 sierpnia 2008 r. Postanowieniem z dnia 7 stycznia 2009 r. prokuratura wyższego szczebla uchyliła pierwotne postanowienie prokuratora z dnia 7 sierpnia 2008 r. oraz orzeczoną karę</w:t>
      </w:r>
      <w:r>
        <w:rPr>
          <w:lang w:val="pl-PL"/>
        </w:rPr>
        <w:t>.</w:t>
      </w:r>
      <w:r w:rsidRPr="00977945">
        <w:rPr>
          <w:lang w:val="pl-PL"/>
        </w:rPr>
        <w:t xml:space="preserve"> Chociaż skarżący nie został dwukrotnie ukarany za te same czyny – ponieważ pierwotnie nałożona na niego kara została uchylona i</w:t>
      </w:r>
      <w:r w:rsidR="000F46C5">
        <w:rPr>
          <w:lang w:val="pl-PL"/>
        </w:rPr>
        <w:t xml:space="preserve"> </w:t>
      </w:r>
      <w:r w:rsidRPr="00977945">
        <w:rPr>
          <w:lang w:val="pl-PL"/>
        </w:rPr>
        <w:t>miał on możliwość uzyskania zwrotu grzywny – to jednak w sprawie miały miejsce dwa następujące po sobie postępowania karne, które dotyczyły tych samych czynów i w związku z tym były one</w:t>
      </w:r>
      <w:r w:rsidR="00AA721C">
        <w:rPr>
          <w:lang w:val="pl-PL"/>
        </w:rPr>
        <w:t xml:space="preserve"> </w:t>
      </w:r>
      <w:r w:rsidR="00AA721C" w:rsidRPr="00AA721C">
        <w:rPr>
          <w:i/>
          <w:lang w:val="pl-PL"/>
        </w:rPr>
        <w:t>prima facie</w:t>
      </w:r>
      <w:r w:rsidRPr="00977945">
        <w:rPr>
          <w:lang w:val="pl-PL"/>
        </w:rPr>
        <w:t xml:space="preserve"> niezgodne z</w:t>
      </w:r>
      <w:r w:rsidR="000F46C5">
        <w:rPr>
          <w:lang w:val="pl-PL"/>
        </w:rPr>
        <w:t xml:space="preserve"> </w:t>
      </w:r>
      <w:r w:rsidRPr="00977945">
        <w:rPr>
          <w:lang w:val="pl-PL"/>
        </w:rPr>
        <w:t>art.</w:t>
      </w:r>
      <w:r w:rsidR="000F46C5">
        <w:rPr>
          <w:lang w:val="pl-PL"/>
        </w:rPr>
        <w:t xml:space="preserve"> </w:t>
      </w:r>
      <w:r w:rsidRPr="00977945">
        <w:rPr>
          <w:lang w:val="pl-PL"/>
        </w:rPr>
        <w:t>4 Protokołu nr 7. Mimo to takie powiel</w:t>
      </w:r>
      <w:r w:rsidR="00360627">
        <w:rPr>
          <w:lang w:val="pl-PL"/>
        </w:rPr>
        <w:t>e</w:t>
      </w:r>
      <w:r w:rsidRPr="00977945">
        <w:rPr>
          <w:lang w:val="pl-PL"/>
        </w:rPr>
        <w:t>nie postępowania może być zgodne z</w:t>
      </w:r>
      <w:r w:rsidR="001F5A65">
        <w:rPr>
          <w:lang w:val="pl-PL"/>
        </w:rPr>
        <w:t> </w:t>
      </w:r>
      <w:r w:rsidRPr="00977945">
        <w:rPr>
          <w:lang w:val="pl-PL"/>
        </w:rPr>
        <w:t xml:space="preserve">art. 4 Protokołu nr 7, jeśli drugie postępowanie obejmuje </w:t>
      </w:r>
      <w:r w:rsidR="00360627">
        <w:rPr>
          <w:lang w:val="pl-PL"/>
        </w:rPr>
        <w:t xml:space="preserve">wznowienie </w:t>
      </w:r>
      <w:r w:rsidR="00360627">
        <w:rPr>
          <w:lang w:val="pl-PL"/>
        </w:rPr>
        <w:lastRenderedPageBreak/>
        <w:t>sprawy</w:t>
      </w:r>
      <w:r w:rsidRPr="00977945">
        <w:rPr>
          <w:lang w:val="pl-PL"/>
        </w:rPr>
        <w:t xml:space="preserve"> spełnia</w:t>
      </w:r>
      <w:r w:rsidR="00360627">
        <w:rPr>
          <w:lang w:val="pl-PL"/>
        </w:rPr>
        <w:t>jące</w:t>
      </w:r>
      <w:r w:rsidRPr="00977945">
        <w:rPr>
          <w:lang w:val="pl-PL"/>
        </w:rPr>
        <w:t xml:space="preserve"> wymogi związane z wyjątkiem przewidzianym w art. 4 ust. 2 Protokołu nr 7.</w:t>
      </w:r>
    </w:p>
    <w:p w14:paraId="6A87D4DD" w14:textId="624F4464" w:rsidR="009E53C0" w:rsidRPr="00977945" w:rsidRDefault="009E53C0" w:rsidP="000D30FE">
      <w:pPr>
        <w:pStyle w:val="ECHRPara"/>
        <w:rPr>
          <w:lang w:val="pl-PL"/>
        </w:rPr>
      </w:pPr>
      <w:bookmarkStart w:id="78" w:name="P176"/>
      <w:r w:rsidRPr="00977945">
        <w:rPr>
          <w:lang w:val="pl-PL"/>
        </w:rPr>
        <w:t>128</w:t>
      </w:r>
      <w:bookmarkEnd w:id="78"/>
      <w:r w:rsidRPr="00977945">
        <w:rPr>
          <w:lang w:val="pl-PL"/>
        </w:rPr>
        <w:t>.</w:t>
      </w:r>
      <w:r>
        <w:rPr>
          <w:lang w:val="pl-PL"/>
        </w:rPr>
        <w:t xml:space="preserve"> </w:t>
      </w:r>
      <w:r w:rsidRPr="00977945">
        <w:rPr>
          <w:lang w:val="pl-PL"/>
        </w:rPr>
        <w:t xml:space="preserve">Artykuł 4 Protokołu nr 7 do Konwencji wprowadza wyraźne rozróżnienie między </w:t>
      </w:r>
      <w:r w:rsidR="00360627">
        <w:rPr>
          <w:lang w:val="pl-PL"/>
        </w:rPr>
        <w:t>drugim</w:t>
      </w:r>
      <w:r w:rsidRPr="00977945">
        <w:rPr>
          <w:lang w:val="pl-PL"/>
        </w:rPr>
        <w:t xml:space="preserve"> oskarżeniem lub procesem, czego zakazuje ustęp pierwszy tego artykułu, a wznowieniem procesu w wyjątkowych okolicznościach, o którym mowa w ustępie drugim tego artykułu. Artykuł 4</w:t>
      </w:r>
      <w:r w:rsidR="000F46C5">
        <w:rPr>
          <w:lang w:val="pl-PL"/>
        </w:rPr>
        <w:t xml:space="preserve"> </w:t>
      </w:r>
      <w:r w:rsidRPr="00977945">
        <w:rPr>
          <w:lang w:val="pl-PL"/>
        </w:rPr>
        <w:t>ust. 2 Protokołu nr 7 wyraźnie przewiduje możliwość, że osoba fizyczna będzie musiała zgodzić się na ściganie na podstawie tych samych zarzutów, zgodnie z</w:t>
      </w:r>
      <w:r w:rsidR="00360627">
        <w:rPr>
          <w:lang w:val="pl-PL"/>
        </w:rPr>
        <w:t xml:space="preserve"> ustawą</w:t>
      </w:r>
      <w:r w:rsidRPr="00977945">
        <w:rPr>
          <w:lang w:val="pl-PL"/>
        </w:rPr>
        <w:t xml:space="preserve">, w przypadku gdy sprawa zostanie </w:t>
      </w:r>
      <w:r w:rsidR="00360627">
        <w:rPr>
          <w:lang w:val="pl-PL"/>
        </w:rPr>
        <w:t>wznowiona</w:t>
      </w:r>
      <w:r w:rsidRPr="00977945">
        <w:rPr>
          <w:lang w:val="pl-PL"/>
        </w:rPr>
        <w:t xml:space="preserve"> w</w:t>
      </w:r>
      <w:r w:rsidR="001F5A65">
        <w:rPr>
          <w:lang w:val="pl-PL"/>
        </w:rPr>
        <w:t> </w:t>
      </w:r>
      <w:r w:rsidRPr="00977945">
        <w:rPr>
          <w:lang w:val="pl-PL"/>
        </w:rPr>
        <w:t xml:space="preserve">następstwie pojawienia się nowych dowodów lub odkrycia </w:t>
      </w:r>
      <w:r w:rsidR="00A41C35" w:rsidRPr="00A41C35">
        <w:rPr>
          <w:lang w:val="pl-PL"/>
        </w:rPr>
        <w:t>rażącego uchybienia</w:t>
      </w:r>
      <w:r w:rsidR="00A41C35">
        <w:rPr>
          <w:lang w:val="pl-PL"/>
        </w:rPr>
        <w:t xml:space="preserve"> popełnionego</w:t>
      </w:r>
      <w:r w:rsidRPr="00977945">
        <w:rPr>
          <w:lang w:val="pl-PL"/>
        </w:rPr>
        <w:t xml:space="preserve"> w poprzednim postępowaniu (zob. </w:t>
      </w:r>
      <w:r w:rsidRPr="00977945">
        <w:rPr>
          <w:i/>
          <w:iCs/>
          <w:lang w:val="pl-PL"/>
        </w:rPr>
        <w:t>Nikitin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 45, oraz </w:t>
      </w:r>
      <w:r w:rsidRPr="00977945">
        <w:rPr>
          <w:i/>
          <w:iCs/>
          <w:lang w:val="pl-PL"/>
        </w:rPr>
        <w:t>Kadušić</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 84). Komitet Ministrów Rady Europy uznał również, że możliwość ponownego zbadania lub </w:t>
      </w:r>
      <w:r w:rsidR="00360627">
        <w:rPr>
          <w:lang w:val="pl-PL"/>
        </w:rPr>
        <w:t xml:space="preserve">wznowienia </w:t>
      </w:r>
      <w:r w:rsidRPr="00977945">
        <w:rPr>
          <w:lang w:val="pl-PL"/>
        </w:rPr>
        <w:t>sprawy stanowi gwarancję zadośćuczynienia, zwłaszcza w kontekście wykonywania wyroków Trybunału. W zaleceniu nr R (2000) 2 w sprawie ponownego rozpatrywania lub wznawiania pewnych spraw na poziomie krajowym na</w:t>
      </w:r>
      <w:r w:rsidR="001F5A65">
        <w:rPr>
          <w:lang w:val="pl-PL"/>
        </w:rPr>
        <w:t> </w:t>
      </w:r>
      <w:r w:rsidRPr="00977945">
        <w:rPr>
          <w:lang w:val="pl-PL"/>
        </w:rPr>
        <w:t>skutek wyroku Europejskiego Trybunału Praw Człowieka,</w:t>
      </w:r>
      <w:r w:rsidR="00360627">
        <w:rPr>
          <w:lang w:val="pl-PL"/>
        </w:rPr>
        <w:t xml:space="preserve"> wezwał</w:t>
      </w:r>
      <w:r w:rsidRPr="00977945">
        <w:rPr>
          <w:lang w:val="pl-PL"/>
        </w:rPr>
        <w:t xml:space="preserve"> państwa członkowskie do zapewnienia, aby ich krajowe systemy prawne przewidywały odpowiednie procedury ponownego rozpatrywania lub</w:t>
      </w:r>
      <w:r w:rsidR="001F5A65">
        <w:rPr>
          <w:lang w:val="pl-PL"/>
        </w:rPr>
        <w:t> </w:t>
      </w:r>
      <w:r w:rsidRPr="00977945">
        <w:rPr>
          <w:lang w:val="pl-PL"/>
        </w:rPr>
        <w:t xml:space="preserve">wznawiania spraw (patrz </w:t>
      </w:r>
      <w:r w:rsidRPr="00977945">
        <w:rPr>
          <w:i/>
          <w:iCs/>
          <w:lang w:val="pl-PL"/>
        </w:rPr>
        <w:t>Nikitin</w:t>
      </w:r>
      <w:r w:rsidRPr="00977945">
        <w:rPr>
          <w:lang w:val="pl-PL"/>
        </w:rPr>
        <w:t xml:space="preserve">, </w:t>
      </w:r>
      <w:r w:rsidRPr="00977945">
        <w:rPr>
          <w:i/>
          <w:iCs/>
          <w:lang w:val="pl-PL"/>
        </w:rPr>
        <w:t>op.</w:t>
      </w:r>
      <w:r>
        <w:rPr>
          <w:i/>
          <w:iCs/>
          <w:lang w:val="pl-PL"/>
        </w:rPr>
        <w:t xml:space="preserve"> </w:t>
      </w:r>
      <w:r w:rsidRPr="00977945">
        <w:rPr>
          <w:i/>
          <w:iCs/>
          <w:lang w:val="pl-PL"/>
        </w:rPr>
        <w:t xml:space="preserve">cit., </w:t>
      </w:r>
      <w:r w:rsidRPr="00977945">
        <w:rPr>
          <w:lang w:val="pl-PL"/>
        </w:rPr>
        <w:t>§</w:t>
      </w:r>
      <w:r w:rsidR="000F46C5">
        <w:rPr>
          <w:lang w:val="pl-PL"/>
        </w:rPr>
        <w:t xml:space="preserve"> </w:t>
      </w:r>
      <w:r w:rsidRPr="00977945">
        <w:rPr>
          <w:lang w:val="pl-PL"/>
        </w:rPr>
        <w:t>56).</w:t>
      </w:r>
    </w:p>
    <w:p w14:paraId="77FE18AB" w14:textId="0B1BDA7D" w:rsidR="009E53C0" w:rsidRPr="00977945" w:rsidRDefault="009E53C0" w:rsidP="000D30FE">
      <w:pPr>
        <w:pStyle w:val="ECHRPara"/>
        <w:rPr>
          <w:lang w:val="pl-PL"/>
        </w:rPr>
      </w:pPr>
      <w:r w:rsidRPr="00977945">
        <w:rPr>
          <w:lang w:val="pl-PL"/>
        </w:rPr>
        <w:t>129.</w:t>
      </w:r>
      <w:r>
        <w:rPr>
          <w:lang w:val="pl-PL"/>
        </w:rPr>
        <w:t xml:space="preserve"> </w:t>
      </w:r>
      <w:r w:rsidRPr="00977945">
        <w:rPr>
          <w:lang w:val="pl-PL"/>
        </w:rPr>
        <w:t xml:space="preserve">Artykuł 4 ust. 2 Protokołu nr 7 wyznacza granicę stosowania zasady pewności prawa w sprawach karnych. Jak Trybunał wielokrotnie stwierdzał, wymogi pewności prawa nie są absolutne, a w sprawach karnych muszą być oceniane w świetle art. 4 ust. 2 Protokołu nr 7, który wyraźnie zezwala Układającym się Stronom na </w:t>
      </w:r>
      <w:r w:rsidR="00E97BE0">
        <w:rPr>
          <w:lang w:val="pl-PL"/>
        </w:rPr>
        <w:t xml:space="preserve">wznowienie </w:t>
      </w:r>
      <w:r w:rsidRPr="00977945">
        <w:rPr>
          <w:lang w:val="pl-PL"/>
        </w:rPr>
        <w:t>sprawy w</w:t>
      </w:r>
      <w:r w:rsidR="000F46C5">
        <w:rPr>
          <w:lang w:val="pl-PL"/>
        </w:rPr>
        <w:t xml:space="preserve"> </w:t>
      </w:r>
      <w:r w:rsidRPr="00977945">
        <w:rPr>
          <w:lang w:val="pl-PL"/>
        </w:rPr>
        <w:t xml:space="preserve">przypadku pojawienia się nowych faktów lub wykrycia </w:t>
      </w:r>
      <w:r w:rsidR="00A41C35" w:rsidRPr="00A41C35">
        <w:rPr>
          <w:lang w:val="pl-PL"/>
        </w:rPr>
        <w:t>rażącego uchybienia</w:t>
      </w:r>
      <w:r w:rsidR="00A41C35" w:rsidRPr="00977945">
        <w:rPr>
          <w:lang w:val="pl-PL"/>
        </w:rPr>
        <w:t xml:space="preserve"> </w:t>
      </w:r>
      <w:r w:rsidRPr="00977945">
        <w:rPr>
          <w:lang w:val="pl-PL"/>
        </w:rPr>
        <w:t>popełnione</w:t>
      </w:r>
      <w:r w:rsidR="00A41C35">
        <w:rPr>
          <w:lang w:val="pl-PL"/>
        </w:rPr>
        <w:t xml:space="preserve">go </w:t>
      </w:r>
      <w:r w:rsidRPr="00977945">
        <w:rPr>
          <w:lang w:val="pl-PL"/>
        </w:rPr>
        <w:t>w</w:t>
      </w:r>
      <w:r w:rsidR="001F5A65">
        <w:rPr>
          <w:lang w:val="pl-PL"/>
        </w:rPr>
        <w:t> </w:t>
      </w:r>
      <w:r w:rsidRPr="00977945">
        <w:rPr>
          <w:lang w:val="pl-PL"/>
        </w:rPr>
        <w:t>postępowaniu (tamże).</w:t>
      </w:r>
    </w:p>
    <w:p w14:paraId="6A055805" w14:textId="67A3378E" w:rsidR="009E53C0" w:rsidRPr="00977945" w:rsidRDefault="009E53C0" w:rsidP="000D30FE">
      <w:pPr>
        <w:pStyle w:val="ECHRHeading6"/>
        <w:rPr>
          <w:lang w:val="pl-PL"/>
        </w:rPr>
      </w:pPr>
      <w:r w:rsidRPr="00977945">
        <w:rPr>
          <w:lang w:val="pl-PL"/>
        </w:rPr>
        <w:t xml:space="preserve">(α) Warunki pozwalające na </w:t>
      </w:r>
      <w:r w:rsidR="00E97BE0">
        <w:rPr>
          <w:lang w:val="pl-PL"/>
        </w:rPr>
        <w:t xml:space="preserve">wznowienie </w:t>
      </w:r>
      <w:r w:rsidRPr="00977945">
        <w:rPr>
          <w:lang w:val="pl-PL"/>
        </w:rPr>
        <w:t>sprawy w rozumieniu wyjątku określonego w art. 4 ust. 2 Protokołu nr 7</w:t>
      </w:r>
    </w:p>
    <w:p w14:paraId="6A0EBA6A" w14:textId="5B61DFF1" w:rsidR="009E53C0" w:rsidRPr="00977945" w:rsidRDefault="009E53C0" w:rsidP="000D30FE">
      <w:pPr>
        <w:pStyle w:val="ECHRPara"/>
        <w:rPr>
          <w:lang w:val="pl-PL"/>
        </w:rPr>
      </w:pPr>
      <w:r w:rsidRPr="00977945">
        <w:rPr>
          <w:lang w:val="pl-PL"/>
        </w:rPr>
        <w:t>130.</w:t>
      </w:r>
      <w:r>
        <w:rPr>
          <w:lang w:val="pl-PL"/>
        </w:rPr>
        <w:t xml:space="preserve"> </w:t>
      </w:r>
      <w:r w:rsidRPr="00977945">
        <w:rPr>
          <w:lang w:val="pl-PL"/>
        </w:rPr>
        <w:t xml:space="preserve">Jak już wcześniej zauważono (zob. paragraf 128 powyżej), wznowienie postępowania jest możliwe, ale podlega rygorystycznym warunkom: decyzja o wznowieniu postępowania musi być uzasadniona pojawieniem się nowych lub nowo </w:t>
      </w:r>
      <w:r w:rsidR="00125DEC">
        <w:rPr>
          <w:lang w:val="pl-PL"/>
        </w:rPr>
        <w:t>ujawnionych</w:t>
      </w:r>
      <w:r w:rsidRPr="00977945">
        <w:rPr>
          <w:lang w:val="pl-PL"/>
        </w:rPr>
        <w:t xml:space="preserve"> okoliczności faktycznych lub</w:t>
      </w:r>
      <w:r w:rsidR="001F5A65">
        <w:rPr>
          <w:lang w:val="pl-PL"/>
        </w:rPr>
        <w:t> </w:t>
      </w:r>
      <w:r w:rsidRPr="00977945">
        <w:rPr>
          <w:lang w:val="pl-PL"/>
        </w:rPr>
        <w:t xml:space="preserve">ujawnieniem </w:t>
      </w:r>
      <w:r w:rsidR="00A41C35" w:rsidRPr="00A41C35">
        <w:rPr>
          <w:lang w:val="pl-PL"/>
        </w:rPr>
        <w:t>rażącego uchybienia</w:t>
      </w:r>
      <w:r w:rsidR="00A41C35" w:rsidRPr="00977945">
        <w:rPr>
          <w:lang w:val="pl-PL"/>
        </w:rPr>
        <w:t xml:space="preserve"> </w:t>
      </w:r>
      <w:r w:rsidR="00A41C35">
        <w:rPr>
          <w:lang w:val="pl-PL"/>
        </w:rPr>
        <w:t>popełnionego</w:t>
      </w:r>
      <w:r w:rsidRPr="00977945">
        <w:rPr>
          <w:lang w:val="pl-PL"/>
        </w:rPr>
        <w:t xml:space="preserve"> w poprzednim postępowaniu, któr</w:t>
      </w:r>
      <w:r w:rsidR="00A95E4A">
        <w:rPr>
          <w:lang w:val="pl-PL"/>
        </w:rPr>
        <w:t>e</w:t>
      </w:r>
      <w:r w:rsidRPr="00977945">
        <w:rPr>
          <w:lang w:val="pl-PL"/>
        </w:rPr>
        <w:t xml:space="preserve"> m</w:t>
      </w:r>
      <w:r w:rsidR="00E97BE0">
        <w:rPr>
          <w:lang w:val="pl-PL"/>
        </w:rPr>
        <w:t>ogł</w:t>
      </w:r>
      <w:r w:rsidR="00A95E4A">
        <w:rPr>
          <w:lang w:val="pl-PL"/>
        </w:rPr>
        <w:t>o</w:t>
      </w:r>
      <w:r w:rsidRPr="00977945">
        <w:rPr>
          <w:lang w:val="pl-PL"/>
        </w:rPr>
        <w:t xml:space="preserve"> mieć wpływ na wynik sprawy. Warunki te są alternatywne i nie kumulują się.</w:t>
      </w:r>
    </w:p>
    <w:p w14:paraId="52126559" w14:textId="6885DC81" w:rsidR="009E53C0" w:rsidRPr="00977945" w:rsidRDefault="009E53C0" w:rsidP="000D30FE">
      <w:pPr>
        <w:pStyle w:val="ECHRPara"/>
        <w:rPr>
          <w:lang w:val="pl-PL"/>
        </w:rPr>
      </w:pPr>
      <w:r w:rsidRPr="00977945">
        <w:rPr>
          <w:lang w:val="pl-PL"/>
        </w:rPr>
        <w:t>131.</w:t>
      </w:r>
      <w:r>
        <w:rPr>
          <w:lang w:val="pl-PL"/>
        </w:rPr>
        <w:t xml:space="preserve"> </w:t>
      </w:r>
      <w:r w:rsidRPr="00977945">
        <w:rPr>
          <w:lang w:val="pl-PL"/>
        </w:rPr>
        <w:t>Trybunał wyjaśnił już, że okoliczności dotyczące sprawy, które</w:t>
      </w:r>
      <w:r w:rsidR="001F5A65">
        <w:rPr>
          <w:lang w:val="pl-PL"/>
        </w:rPr>
        <w:t> </w:t>
      </w:r>
      <w:r w:rsidRPr="00977945">
        <w:rPr>
          <w:lang w:val="pl-PL"/>
        </w:rPr>
        <w:t xml:space="preserve">istnieją w trakcie procesu, ale pozostają ukryte przed sądem, a stają się znane dopiero po zakończeniu procesu, są „nowo </w:t>
      </w:r>
      <w:r w:rsidR="00125DEC">
        <w:rPr>
          <w:lang w:val="pl-PL"/>
        </w:rPr>
        <w:t>ujawnione</w:t>
      </w:r>
      <w:r w:rsidRPr="00977945">
        <w:rPr>
          <w:lang w:val="pl-PL"/>
        </w:rPr>
        <w:t xml:space="preserve">”. Okoliczności, które dotyczą sprawy, ale pojawiają się dopiero po rozprawie, są „nowe” (zob. </w:t>
      </w:r>
      <w:r w:rsidRPr="00977945">
        <w:rPr>
          <w:i/>
          <w:iCs/>
          <w:lang w:val="pl-PL"/>
        </w:rPr>
        <w:t xml:space="preserve">Bulgakova przeciwko Rosji, </w:t>
      </w:r>
      <w:r w:rsidRPr="00977945">
        <w:rPr>
          <w:lang w:val="pl-PL"/>
        </w:rPr>
        <w:t>nr</w:t>
      </w:r>
      <w:r w:rsidR="000F46C5">
        <w:rPr>
          <w:lang w:val="pl-PL"/>
        </w:rPr>
        <w:t xml:space="preserve"> </w:t>
      </w:r>
      <w:r w:rsidRPr="00977945">
        <w:rPr>
          <w:lang w:val="pl-PL"/>
        </w:rPr>
        <w:t>69524/01, §</w:t>
      </w:r>
      <w:r w:rsidR="000F46C5">
        <w:rPr>
          <w:lang w:val="pl-PL"/>
        </w:rPr>
        <w:t xml:space="preserve"> </w:t>
      </w:r>
      <w:r w:rsidRPr="00977945">
        <w:rPr>
          <w:lang w:val="pl-PL"/>
        </w:rPr>
        <w:t>39, 18 stycznia 2007 r., oraz</w:t>
      </w:r>
      <w:r w:rsidR="001F5A65">
        <w:rPr>
          <w:lang w:val="pl-PL"/>
        </w:rPr>
        <w:t> </w:t>
      </w:r>
      <w:r w:rsidRPr="00977945">
        <w:rPr>
          <w:i/>
          <w:iCs/>
          <w:lang w:val="pl-PL"/>
        </w:rPr>
        <w:t>Vedernikova przeciwko Rosji</w:t>
      </w:r>
      <w:r w:rsidRPr="00977945">
        <w:rPr>
          <w:lang w:val="pl-PL"/>
        </w:rPr>
        <w:t>, nr 25580/02, §</w:t>
      </w:r>
      <w:r w:rsidR="000F46C5">
        <w:rPr>
          <w:lang w:val="pl-PL"/>
        </w:rPr>
        <w:t xml:space="preserve"> </w:t>
      </w:r>
      <w:r w:rsidRPr="00977945">
        <w:rPr>
          <w:lang w:val="pl-PL"/>
        </w:rPr>
        <w:t>30, 12 lipca 2007 r. – w</w:t>
      </w:r>
      <w:r w:rsidR="001F5A65">
        <w:rPr>
          <w:lang w:val="pl-PL"/>
        </w:rPr>
        <w:t> </w:t>
      </w:r>
      <w:r w:rsidRPr="00977945">
        <w:rPr>
          <w:lang w:val="pl-PL"/>
        </w:rPr>
        <w:t xml:space="preserve">odniesieniu do art. 6). Trybunał uważa również, co zostało ponadto </w:t>
      </w:r>
      <w:r w:rsidRPr="00977945">
        <w:rPr>
          <w:lang w:val="pl-PL"/>
        </w:rPr>
        <w:lastRenderedPageBreak/>
        <w:t xml:space="preserve">odnotowane w sprawozdaniu wyjaśniającym do Protokołu nr 7, że termin „nowe lub nowo </w:t>
      </w:r>
      <w:r w:rsidR="00125DEC">
        <w:rPr>
          <w:lang w:val="pl-PL"/>
        </w:rPr>
        <w:t>ujawnione</w:t>
      </w:r>
      <w:r w:rsidRPr="00977945">
        <w:rPr>
          <w:lang w:val="pl-PL"/>
        </w:rPr>
        <w:t xml:space="preserve"> fakty” obejmuje nowe dowody odnoszące się do</w:t>
      </w:r>
      <w:r w:rsidR="001F5A65">
        <w:rPr>
          <w:lang w:val="pl-PL"/>
        </w:rPr>
        <w:t> </w:t>
      </w:r>
      <w:r w:rsidRPr="00977945">
        <w:rPr>
          <w:lang w:val="pl-PL"/>
        </w:rPr>
        <w:t>wcześniej istniejących faktów (zob. pkt 31 sprawozdania wyjaśniającego, cytowany w paragrafie 37 powyżej).</w:t>
      </w:r>
    </w:p>
    <w:p w14:paraId="26C6F64D" w14:textId="72A49B82" w:rsidR="009E53C0" w:rsidRPr="00977945" w:rsidRDefault="009E53C0" w:rsidP="000D30FE">
      <w:pPr>
        <w:pStyle w:val="ECHRPara"/>
        <w:rPr>
          <w:lang w:val="pl-PL"/>
        </w:rPr>
      </w:pPr>
      <w:r w:rsidRPr="00977945">
        <w:rPr>
          <w:lang w:val="pl-PL"/>
        </w:rPr>
        <w:t>132.</w:t>
      </w:r>
      <w:r>
        <w:rPr>
          <w:lang w:val="pl-PL"/>
        </w:rPr>
        <w:t xml:space="preserve"> </w:t>
      </w:r>
      <w:r w:rsidRPr="00977945">
        <w:rPr>
          <w:lang w:val="pl-PL"/>
        </w:rPr>
        <w:t>W niektórych przypadkach Trybunał uznał również, że wyjątek określony w art. 4 ust. 2 Protokołu nr 7 ma zastosowanie w przypadku wznowienia postępowania, jeśli „w poprzednim postępowaniu</w:t>
      </w:r>
      <w:r w:rsidR="00A41C35">
        <w:rPr>
          <w:lang w:val="pl-PL"/>
        </w:rPr>
        <w:t xml:space="preserve"> </w:t>
      </w:r>
      <w:r w:rsidR="00A41C35">
        <w:rPr>
          <w:lang w:val="pl-PL"/>
        </w:rPr>
        <w:t xml:space="preserve">dopuszczono się </w:t>
      </w:r>
      <w:r w:rsidR="00A41C35" w:rsidRPr="00A41C35">
        <w:rPr>
          <w:lang w:val="pl-PL"/>
        </w:rPr>
        <w:t>rażącego uchybienia</w:t>
      </w:r>
      <w:r w:rsidRPr="00977945">
        <w:rPr>
          <w:lang w:val="pl-PL"/>
        </w:rPr>
        <w:t>”.</w:t>
      </w:r>
      <w:r w:rsidRPr="00977945">
        <w:rPr>
          <w:lang w:val="pl-PL"/>
        </w:rPr>
        <w:t xml:space="preserve"> Przykładowo, w sprawie </w:t>
      </w:r>
      <w:r w:rsidRPr="00977945">
        <w:rPr>
          <w:i/>
          <w:iCs/>
          <w:lang w:val="pl-PL"/>
        </w:rPr>
        <w:t>Fadin przeciwko Rosji</w:t>
      </w:r>
      <w:r w:rsidRPr="00977945">
        <w:rPr>
          <w:lang w:val="pl-PL"/>
        </w:rPr>
        <w:t xml:space="preserve"> (nr</w:t>
      </w:r>
      <w:r w:rsidR="001F5A65">
        <w:rPr>
          <w:lang w:val="pl-PL"/>
        </w:rPr>
        <w:t> </w:t>
      </w:r>
      <w:r w:rsidRPr="00977945">
        <w:rPr>
          <w:lang w:val="pl-PL"/>
        </w:rPr>
        <w:t>58079/00, § 32, 27 lipca 2006 r.) Trybunał uznał, że wznowienie postępowania na tej podstawie, że sąd niższej instancji nie zastosował się do</w:t>
      </w:r>
      <w:r w:rsidR="001F5A65">
        <w:rPr>
          <w:lang w:val="pl-PL"/>
        </w:rPr>
        <w:t> </w:t>
      </w:r>
      <w:r w:rsidRPr="00977945">
        <w:rPr>
          <w:lang w:val="pl-PL"/>
        </w:rPr>
        <w:t xml:space="preserve">instrukcji udzielonych mu przez Sąd Najwyższy w zakresie czynności dochodzeniowych, które należy przeprowadzić, było uzasadnione </w:t>
      </w:r>
      <w:r w:rsidR="00A41C35" w:rsidRPr="00A41C35">
        <w:rPr>
          <w:lang w:val="pl-PL"/>
        </w:rPr>
        <w:t>rażąc</w:t>
      </w:r>
      <w:r w:rsidR="00A41C35">
        <w:rPr>
          <w:lang w:val="pl-PL"/>
        </w:rPr>
        <w:t xml:space="preserve">ym </w:t>
      </w:r>
      <w:r w:rsidR="00A41C35" w:rsidRPr="00A41C35">
        <w:rPr>
          <w:lang w:val="pl-PL"/>
        </w:rPr>
        <w:t>uchybieni</w:t>
      </w:r>
      <w:r w:rsidR="00A41C35">
        <w:rPr>
          <w:lang w:val="pl-PL"/>
        </w:rPr>
        <w:t>em</w:t>
      </w:r>
      <w:r w:rsidR="00A41C35" w:rsidRPr="00977945">
        <w:rPr>
          <w:lang w:val="pl-PL"/>
        </w:rPr>
        <w:t xml:space="preserve"> </w:t>
      </w:r>
      <w:r w:rsidR="00A41C35">
        <w:rPr>
          <w:lang w:val="pl-PL"/>
        </w:rPr>
        <w:t>popełnionym</w:t>
      </w:r>
      <w:r w:rsidRPr="00977945">
        <w:rPr>
          <w:lang w:val="pl-PL"/>
        </w:rPr>
        <w:t xml:space="preserve"> w poprzednim postępowaniu, a zatem było zgodne z</w:t>
      </w:r>
      <w:r w:rsidR="001F5A65">
        <w:rPr>
          <w:lang w:val="pl-PL"/>
        </w:rPr>
        <w:t> </w:t>
      </w:r>
      <w:r w:rsidRPr="00977945">
        <w:rPr>
          <w:lang w:val="pl-PL"/>
        </w:rPr>
        <w:t>art.</w:t>
      </w:r>
      <w:r w:rsidR="001F5A65">
        <w:rPr>
          <w:lang w:val="pl-PL"/>
        </w:rPr>
        <w:t> </w:t>
      </w:r>
      <w:r w:rsidRPr="00977945">
        <w:rPr>
          <w:lang w:val="pl-PL"/>
        </w:rPr>
        <w:t xml:space="preserve">4 ust. 2 Protokołu nr 7 (zob. też </w:t>
      </w:r>
      <w:r w:rsidRPr="00977945">
        <w:rPr>
          <w:i/>
          <w:iCs/>
          <w:lang w:val="pl-PL"/>
        </w:rPr>
        <w:t>Bratyakin przeciwko Rosji</w:t>
      </w:r>
      <w:r w:rsidRPr="00977945">
        <w:rPr>
          <w:lang w:val="pl-PL"/>
        </w:rPr>
        <w:t xml:space="preserve"> (dec.), nr</w:t>
      </w:r>
      <w:r w:rsidR="001F5A65">
        <w:rPr>
          <w:lang w:val="pl-PL"/>
        </w:rPr>
        <w:t> </w:t>
      </w:r>
      <w:r w:rsidRPr="00977945">
        <w:rPr>
          <w:lang w:val="pl-PL"/>
        </w:rPr>
        <w:t xml:space="preserve">72776/01, 9 marca 2006 r., oraz </w:t>
      </w:r>
      <w:r w:rsidRPr="00977945">
        <w:rPr>
          <w:i/>
          <w:iCs/>
          <w:lang w:val="pl-PL"/>
        </w:rPr>
        <w:t>Goncharovy przeciwko Rosji,</w:t>
      </w:r>
      <w:r w:rsidRPr="00977945">
        <w:rPr>
          <w:lang w:val="pl-PL"/>
        </w:rPr>
        <w:t xml:space="preserve"> nr</w:t>
      </w:r>
      <w:r w:rsidR="00AE4551">
        <w:rPr>
          <w:lang w:val="pl-PL"/>
        </w:rPr>
        <w:t> </w:t>
      </w:r>
      <w:r w:rsidRPr="00977945">
        <w:rPr>
          <w:lang w:val="pl-PL"/>
        </w:rPr>
        <w:t>77989/01, 27</w:t>
      </w:r>
      <w:r w:rsidR="000F46C5">
        <w:rPr>
          <w:lang w:val="pl-PL"/>
        </w:rPr>
        <w:t xml:space="preserve"> </w:t>
      </w:r>
      <w:r w:rsidRPr="00977945">
        <w:rPr>
          <w:lang w:val="pl-PL"/>
        </w:rPr>
        <w:t>listopada 2008 r.).</w:t>
      </w:r>
    </w:p>
    <w:p w14:paraId="39E3C230" w14:textId="60C270CB" w:rsidR="009E53C0" w:rsidRPr="00977945" w:rsidRDefault="009E53C0" w:rsidP="000D30FE">
      <w:pPr>
        <w:pStyle w:val="ECHRPara"/>
        <w:rPr>
          <w:lang w:val="pl-PL"/>
        </w:rPr>
      </w:pPr>
      <w:r w:rsidRPr="00977945">
        <w:rPr>
          <w:lang w:val="pl-PL"/>
        </w:rPr>
        <w:t>133.</w:t>
      </w:r>
      <w:r>
        <w:rPr>
          <w:lang w:val="pl-PL"/>
        </w:rPr>
        <w:t xml:space="preserve"> </w:t>
      </w:r>
      <w:r w:rsidRPr="00977945">
        <w:rPr>
          <w:lang w:val="pl-PL"/>
        </w:rPr>
        <w:t>Przywołane orzecznictwo wskazuje zatem, że Trybunał ocenia w</w:t>
      </w:r>
      <w:r w:rsidR="001F5A65">
        <w:rPr>
          <w:lang w:val="pl-PL"/>
        </w:rPr>
        <w:t> </w:t>
      </w:r>
      <w:r w:rsidRPr="00977945">
        <w:rPr>
          <w:lang w:val="pl-PL"/>
        </w:rPr>
        <w:t>każdym przypadku z osobna, czy okoliczności, na które powołuje się organ wyższego szczebla w celu wznowienia postępowania, stanowią nowe lub</w:t>
      </w:r>
      <w:r w:rsidR="001F5A65">
        <w:rPr>
          <w:lang w:val="pl-PL"/>
        </w:rPr>
        <w:t> </w:t>
      </w:r>
      <w:r w:rsidRPr="00977945">
        <w:rPr>
          <w:lang w:val="pl-PL"/>
        </w:rPr>
        <w:t xml:space="preserve">nowo </w:t>
      </w:r>
      <w:r w:rsidR="00125DEC">
        <w:rPr>
          <w:lang w:val="pl-PL"/>
        </w:rPr>
        <w:t>ujawnione</w:t>
      </w:r>
      <w:r w:rsidRPr="00977945">
        <w:rPr>
          <w:lang w:val="pl-PL"/>
        </w:rPr>
        <w:t xml:space="preserve"> fakty lub </w:t>
      </w:r>
      <w:r w:rsidR="00A41C35" w:rsidRPr="00A41C35">
        <w:rPr>
          <w:lang w:val="pl-PL"/>
        </w:rPr>
        <w:t>rażące uchybieni</w:t>
      </w:r>
      <w:r w:rsidR="00A41C35">
        <w:rPr>
          <w:lang w:val="pl-PL"/>
        </w:rPr>
        <w:t>e</w:t>
      </w:r>
      <w:r w:rsidR="00A41C35" w:rsidRPr="00977945">
        <w:rPr>
          <w:lang w:val="pl-PL"/>
        </w:rPr>
        <w:t xml:space="preserve"> </w:t>
      </w:r>
      <w:r w:rsidR="00A41C35">
        <w:rPr>
          <w:lang w:val="pl-PL"/>
        </w:rPr>
        <w:t>popełnione</w:t>
      </w:r>
      <w:r w:rsidRPr="00977945">
        <w:rPr>
          <w:lang w:val="pl-PL"/>
        </w:rPr>
        <w:t xml:space="preserve"> w poprzednim postępowaniu. Pojęcie „poważnej pomyłki” w rozumieniu art. 4 ust. 2 Protokołu nr 7 sugeruje, że jedynie poważne naruszenie przepisu proceduralnego, poważnie podważające rzetelność poprzedniego postępowania, może stanowić podstawę do jego wznowienia na niekorzyść oskarżonego, jeżeli został on uniewinniony od popełnienia przestępstwa lub</w:t>
      </w:r>
      <w:r w:rsidR="001F5A65">
        <w:rPr>
          <w:lang w:val="pl-PL"/>
        </w:rPr>
        <w:t> </w:t>
      </w:r>
      <w:r w:rsidRPr="00977945">
        <w:rPr>
          <w:lang w:val="pl-PL"/>
        </w:rPr>
        <w:t>ukarany za przestępstwo mniej poważne niż przewidziane przez obowiązujące prawo. W związku z tym w takich przypadkach zwykła ponowna ocena dowodów znajdujących się w aktach sprawy przez prokuratora lub sąd wyższej instancji nie spełniałaby tego kryterium. Jednakże jeśli chodzi o sytuacje, w których oskarżony został uznany za</w:t>
      </w:r>
      <w:r w:rsidR="001F5A65">
        <w:rPr>
          <w:lang w:val="pl-PL"/>
        </w:rPr>
        <w:t> </w:t>
      </w:r>
      <w:r w:rsidRPr="00977945">
        <w:rPr>
          <w:lang w:val="pl-PL"/>
        </w:rPr>
        <w:t>winnego, a wznowienie postępowania mogłoby działać na jego korzyść, Trybunał przypomina, że w pkt 31 sprawozdania wyjaśniającego do</w:t>
      </w:r>
      <w:r w:rsidR="001F5A65">
        <w:rPr>
          <w:lang w:val="pl-PL"/>
        </w:rPr>
        <w:t> </w:t>
      </w:r>
      <w:r w:rsidRPr="00977945">
        <w:rPr>
          <w:lang w:val="pl-PL"/>
        </w:rPr>
        <w:t xml:space="preserve">Protokołu nr 7 (zob. paragraf 37 powyżej) podkreślono, iż „omawiany artykuł nie zabrania wznowienia postępowania na korzyść skazanego oraz zmiany wyroku w inny sposób na korzyść skazanego”. W takich sytuacjach należy więc przede wszystkim ocenić charakter uchybienia, aby stwierdzić, czy doszło do naruszenia prawa do obrony, a tym samym do utrudnienia prawidłowego wymierzania sprawiedliwości. Wreszcie, we wszystkich przypadkach, powody uzasadniające wznowienie postępowania muszą, zgodnie z art. 4 ust. 2 Protokołu nr 7 </w:t>
      </w:r>
      <w:r w:rsidRPr="00977945">
        <w:rPr>
          <w:i/>
          <w:iCs/>
          <w:lang w:val="pl-PL"/>
        </w:rPr>
        <w:t>in fine</w:t>
      </w:r>
      <w:r w:rsidRPr="00977945">
        <w:rPr>
          <w:lang w:val="pl-PL"/>
        </w:rPr>
        <w:t>, być takie, aby „mogł[y] mieć wpływ na wynik sprawy” albo na korzyść osoby, albo na jej niekorzyść (zob.</w:t>
      </w:r>
      <w:r w:rsidR="001F5A65">
        <w:rPr>
          <w:lang w:val="pl-PL"/>
        </w:rPr>
        <w:t> </w:t>
      </w:r>
      <w:r w:rsidRPr="00977945">
        <w:rPr>
          <w:lang w:val="pl-PL"/>
        </w:rPr>
        <w:t>w tym celu pkt 30 sprawozdania wyjaśniającego do Protokołu nr 7, cytowany w paragrafie 37 powyżej).</w:t>
      </w:r>
    </w:p>
    <w:p w14:paraId="719D7996" w14:textId="77777777" w:rsidR="009E53C0" w:rsidRPr="00977945" w:rsidRDefault="009E53C0" w:rsidP="000D30FE">
      <w:pPr>
        <w:pStyle w:val="ECHRHeading6"/>
        <w:rPr>
          <w:lang w:val="pl-PL"/>
        </w:rPr>
      </w:pPr>
      <w:r w:rsidRPr="00977945">
        <w:rPr>
          <w:lang w:val="pl-PL"/>
        </w:rPr>
        <w:lastRenderedPageBreak/>
        <w:t>(β)</w:t>
      </w:r>
      <w:r>
        <w:rPr>
          <w:lang w:val="pl-PL"/>
        </w:rPr>
        <w:t xml:space="preserve"> </w:t>
      </w:r>
      <w:r w:rsidRPr="00977945">
        <w:rPr>
          <w:lang w:val="pl-PL"/>
        </w:rPr>
        <w:t>Rozważania właściwe niniejszej sprawie</w:t>
      </w:r>
    </w:p>
    <w:p w14:paraId="414E5AA4" w14:textId="58AF90B6" w:rsidR="009E53C0" w:rsidRPr="00977945" w:rsidRDefault="009E53C0" w:rsidP="000D30FE">
      <w:pPr>
        <w:pStyle w:val="ECHRPara"/>
        <w:rPr>
          <w:lang w:val="pl-PL"/>
        </w:rPr>
      </w:pPr>
      <w:r w:rsidRPr="00977945">
        <w:rPr>
          <w:lang w:val="pl-PL"/>
        </w:rPr>
        <w:t>134.</w:t>
      </w:r>
      <w:r>
        <w:rPr>
          <w:lang w:val="pl-PL"/>
        </w:rPr>
        <w:t xml:space="preserve"> </w:t>
      </w:r>
      <w:r w:rsidRPr="00977945">
        <w:rPr>
          <w:lang w:val="pl-PL"/>
        </w:rPr>
        <w:t>Przechodząc do okoliczności sprawy, Trybunał zauważa, że</w:t>
      </w:r>
      <w:r w:rsidR="001F5A65">
        <w:rPr>
          <w:lang w:val="pl-PL"/>
        </w:rPr>
        <w:t> </w:t>
      </w:r>
      <w:r w:rsidRPr="00977945">
        <w:rPr>
          <w:lang w:val="pl-PL"/>
        </w:rPr>
        <w:t>postanowienie prokuratora wyższego szczebla i następujące po nim postępowanie dotyczyły tych samych zarzutów, które były podstawą postępowania zakończonego postanowieniem z dnia 7 sierpnia 2008 r., i</w:t>
      </w:r>
      <w:r w:rsidR="001F5A65">
        <w:rPr>
          <w:lang w:val="pl-PL"/>
        </w:rPr>
        <w:t> </w:t>
      </w:r>
      <w:r w:rsidRPr="00977945">
        <w:rPr>
          <w:lang w:val="pl-PL"/>
        </w:rPr>
        <w:t>że</w:t>
      </w:r>
      <w:r w:rsidR="001F5A65">
        <w:rPr>
          <w:lang w:val="pl-PL"/>
        </w:rPr>
        <w:t> </w:t>
      </w:r>
      <w:r w:rsidRPr="00977945">
        <w:rPr>
          <w:lang w:val="pl-PL"/>
        </w:rPr>
        <w:t>ich celem było zbadanie zasadności tego postanowienia.</w:t>
      </w:r>
      <w:r w:rsidRPr="00977945">
        <w:rPr>
          <w:snapToGrid w:val="0"/>
          <w:lang w:val="pl-PL"/>
        </w:rPr>
        <w:t xml:space="preserve"> Postanowienie prokuratora wyższego szczebla z dnia 7 stycznia 2009 r. skutkowało uchyleniem w całości poprzedniego postanowienia z dnia 7 sierpnia 2008 r.</w:t>
      </w:r>
      <w:r w:rsidRPr="00977945">
        <w:rPr>
          <w:lang w:val="pl-PL"/>
        </w:rPr>
        <w:t xml:space="preserve"> Było to </w:t>
      </w:r>
      <w:r w:rsidRPr="00977945">
        <w:rPr>
          <w:snapToGrid w:val="0"/>
          <w:lang w:val="pl-PL"/>
        </w:rPr>
        <w:t>konieczne, aby umożliwić zwrot akt sprawy do tej samej prokuratury, która mogła następnie kontynuować śledztwo zgodnie z</w:t>
      </w:r>
      <w:r w:rsidR="000F46C5">
        <w:rPr>
          <w:snapToGrid w:val="0"/>
          <w:lang w:val="pl-PL"/>
        </w:rPr>
        <w:t xml:space="preserve"> </w:t>
      </w:r>
      <w:r w:rsidRPr="00977945">
        <w:rPr>
          <w:snapToGrid w:val="0"/>
          <w:lang w:val="pl-PL"/>
        </w:rPr>
        <w:t xml:space="preserve">wydanymi postanowieniami, to znaczy wszcząć postępowanie karne przeciwko skarżącemu </w:t>
      </w:r>
      <w:r w:rsidRPr="002723CA">
        <w:rPr>
          <w:snapToGrid w:val="0"/>
          <w:lang w:val="pl-PL"/>
        </w:rPr>
        <w:t xml:space="preserve">i </w:t>
      </w:r>
      <w:r w:rsidR="002723CA" w:rsidRPr="002723CA">
        <w:rPr>
          <w:snapToGrid w:val="0"/>
          <w:lang w:val="pl-PL"/>
        </w:rPr>
        <w:t xml:space="preserve">skierować jego sprawę </w:t>
      </w:r>
      <w:r w:rsidRPr="002723CA">
        <w:rPr>
          <w:snapToGrid w:val="0"/>
          <w:lang w:val="pl-PL"/>
        </w:rPr>
        <w:t>do</w:t>
      </w:r>
      <w:r w:rsidR="002723CA" w:rsidRPr="002723CA">
        <w:rPr>
          <w:snapToGrid w:val="0"/>
          <w:lang w:val="pl-PL"/>
        </w:rPr>
        <w:t xml:space="preserve"> sądu</w:t>
      </w:r>
      <w:r w:rsidRPr="00977945">
        <w:rPr>
          <w:snapToGrid w:val="0"/>
          <w:lang w:val="pl-PL"/>
        </w:rPr>
        <w:t xml:space="preserve">. Po wszczęciu nowego postępowania skarżący stanął przed sądem, a w trakcie procesu zarzuty karne wobec niego zostały </w:t>
      </w:r>
      <w:r w:rsidR="002723CA">
        <w:rPr>
          <w:snapToGrid w:val="0"/>
          <w:lang w:val="pl-PL"/>
        </w:rPr>
        <w:t xml:space="preserve">rozstrzygnięte </w:t>
      </w:r>
      <w:r w:rsidRPr="00977945">
        <w:rPr>
          <w:snapToGrid w:val="0"/>
          <w:lang w:val="pl-PL"/>
        </w:rPr>
        <w:t>w nowym pojedynczym orzeczeniu</w:t>
      </w:r>
      <w:r w:rsidRPr="00977945">
        <w:rPr>
          <w:lang w:val="pl-PL"/>
        </w:rPr>
        <w:t>. W</w:t>
      </w:r>
      <w:r w:rsidR="001F5A65">
        <w:rPr>
          <w:lang w:val="pl-PL"/>
        </w:rPr>
        <w:t> </w:t>
      </w:r>
      <w:r w:rsidRPr="00977945">
        <w:rPr>
          <w:lang w:val="pl-PL"/>
        </w:rPr>
        <w:t xml:space="preserve">niniejszej sprawie chodzi zatem o system umożliwiający ponowne podjęcie postępowania, które można uznać </w:t>
      </w:r>
      <w:r w:rsidRPr="00977945">
        <w:rPr>
          <w:snapToGrid w:val="0"/>
          <w:lang w:val="pl-PL"/>
        </w:rPr>
        <w:t>za szczególną formę wznowienia postępowania w rozumien</w:t>
      </w:r>
      <w:r w:rsidR="002723CA">
        <w:rPr>
          <w:snapToGrid w:val="0"/>
          <w:lang w:val="pl-PL"/>
        </w:rPr>
        <w:t>iu art. 4 ust. 2 Protokołu nr 7</w:t>
      </w:r>
      <w:r w:rsidRPr="00977945">
        <w:rPr>
          <w:snapToGrid w:val="0"/>
          <w:lang w:val="pl-PL"/>
        </w:rPr>
        <w:t xml:space="preserve"> </w:t>
      </w:r>
      <w:r w:rsidRPr="00977945">
        <w:rPr>
          <w:lang w:val="pl-PL"/>
        </w:rPr>
        <w:t xml:space="preserve">(zob. </w:t>
      </w:r>
      <w:r w:rsidRPr="00977945">
        <w:rPr>
          <w:i/>
          <w:iCs/>
          <w:lang w:val="pl-PL"/>
        </w:rPr>
        <w:t>Nikitin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 46, oraz </w:t>
      </w:r>
      <w:r w:rsidRPr="00977945">
        <w:rPr>
          <w:i/>
          <w:iCs/>
          <w:lang w:val="pl-PL"/>
        </w:rPr>
        <w:t>Fadin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 31).</w:t>
      </w:r>
    </w:p>
    <w:p w14:paraId="75F815D3" w14:textId="763F5CE8" w:rsidR="009E53C0" w:rsidRPr="00977945" w:rsidRDefault="009E53C0" w:rsidP="000D30FE">
      <w:pPr>
        <w:pStyle w:val="ECHRPara"/>
        <w:rPr>
          <w:lang w:val="pl-PL"/>
        </w:rPr>
      </w:pPr>
      <w:r w:rsidRPr="00977945">
        <w:rPr>
          <w:lang w:val="pl-PL"/>
        </w:rPr>
        <w:t>135.</w:t>
      </w:r>
      <w:r>
        <w:rPr>
          <w:lang w:val="pl-PL"/>
        </w:rPr>
        <w:t xml:space="preserve"> </w:t>
      </w:r>
      <w:r w:rsidRPr="00977945">
        <w:rPr>
          <w:lang w:val="pl-PL"/>
        </w:rPr>
        <w:t>Z postanowienia z dnia 7 stycznia 2009 r. jasno wynika, że</w:t>
      </w:r>
      <w:r w:rsidR="001F5A65">
        <w:rPr>
          <w:lang w:val="pl-PL"/>
        </w:rPr>
        <w:t> </w:t>
      </w:r>
      <w:r w:rsidRPr="00977945">
        <w:rPr>
          <w:lang w:val="pl-PL"/>
        </w:rPr>
        <w:t>wznowienie dotyczyło tych samych okoliczności faktycznych, które były przedmiotem postanowienia z dnia 7 sierpnia 2008 r. Prokurator wyższego szczebla wydał swoją decyzję na podstawie tych samych akt sprawy, co</w:t>
      </w:r>
      <w:r w:rsidR="001F5A65">
        <w:rPr>
          <w:lang w:val="pl-PL"/>
        </w:rPr>
        <w:t> </w:t>
      </w:r>
      <w:r w:rsidRPr="00977945">
        <w:rPr>
          <w:lang w:val="pl-PL"/>
        </w:rPr>
        <w:t>prokurator pierwotnie orzekający, przy czym nie przedstawiono i</w:t>
      </w:r>
      <w:r w:rsidR="001F5A65">
        <w:rPr>
          <w:lang w:val="pl-PL"/>
        </w:rPr>
        <w:t> </w:t>
      </w:r>
      <w:r w:rsidRPr="00977945">
        <w:rPr>
          <w:lang w:val="pl-PL"/>
        </w:rPr>
        <w:t>nie</w:t>
      </w:r>
      <w:r w:rsidR="001F5A65">
        <w:rPr>
          <w:lang w:val="pl-PL"/>
        </w:rPr>
        <w:t> </w:t>
      </w:r>
      <w:r w:rsidRPr="00977945">
        <w:rPr>
          <w:lang w:val="pl-PL"/>
        </w:rPr>
        <w:t xml:space="preserve">zbadano żadnych nowych dowodów. Ponowne otwarcie sprawy nie było zatem uzasadnione pojawieniem się nowych lub nowo </w:t>
      </w:r>
      <w:r w:rsidR="00125DEC">
        <w:rPr>
          <w:lang w:val="pl-PL"/>
        </w:rPr>
        <w:t>ujawnionyc</w:t>
      </w:r>
      <w:r w:rsidRPr="00977945">
        <w:rPr>
          <w:lang w:val="pl-PL"/>
        </w:rPr>
        <w:t>h</w:t>
      </w:r>
      <w:r w:rsidRPr="00977945">
        <w:rPr>
          <w:lang w:val="pl-PL"/>
        </w:rPr>
        <w:t xml:space="preserve"> faktów, które to stwierdzenie nie wydaje się zresztą być kwestionowane.</w:t>
      </w:r>
    </w:p>
    <w:p w14:paraId="496A2E19" w14:textId="155B13CB" w:rsidR="009E53C0" w:rsidRPr="00977945" w:rsidRDefault="009E53C0" w:rsidP="000D30FE">
      <w:pPr>
        <w:pStyle w:val="ECHRPara"/>
        <w:rPr>
          <w:lang w:val="pl-PL"/>
        </w:rPr>
      </w:pPr>
      <w:r w:rsidRPr="00977945">
        <w:rPr>
          <w:lang w:val="pl-PL"/>
        </w:rPr>
        <w:t>136.</w:t>
      </w:r>
      <w:r>
        <w:rPr>
          <w:lang w:val="pl-PL"/>
        </w:rPr>
        <w:t xml:space="preserve"> </w:t>
      </w:r>
      <w:r w:rsidRPr="00977945">
        <w:rPr>
          <w:lang w:val="pl-PL"/>
        </w:rPr>
        <w:t xml:space="preserve">Rząd twierdził natomiast, że wznowienie postępowania karnego było uzasadnione </w:t>
      </w:r>
      <w:r w:rsidR="00A41C35" w:rsidRPr="00A41C35">
        <w:rPr>
          <w:lang w:val="pl-PL"/>
        </w:rPr>
        <w:t>rażąc</w:t>
      </w:r>
      <w:r w:rsidR="00A41C35">
        <w:rPr>
          <w:lang w:val="pl-PL"/>
        </w:rPr>
        <w:t>ym</w:t>
      </w:r>
      <w:r w:rsidR="00A41C35" w:rsidRPr="00A41C35">
        <w:rPr>
          <w:lang w:val="pl-PL"/>
        </w:rPr>
        <w:t xml:space="preserve"> uchybieni</w:t>
      </w:r>
      <w:r w:rsidR="00A41C35">
        <w:rPr>
          <w:lang w:val="pl-PL"/>
        </w:rPr>
        <w:t>em popełnionym</w:t>
      </w:r>
      <w:r w:rsidR="00A41C35" w:rsidRPr="00977945">
        <w:rPr>
          <w:lang w:val="pl-PL"/>
        </w:rPr>
        <w:t xml:space="preserve"> </w:t>
      </w:r>
      <w:r w:rsidRPr="00977945">
        <w:rPr>
          <w:lang w:val="pl-PL"/>
        </w:rPr>
        <w:t>w poprzednim postępowaniu i</w:t>
      </w:r>
      <w:r w:rsidR="001F5A65">
        <w:rPr>
          <w:lang w:val="pl-PL"/>
        </w:rPr>
        <w:t> </w:t>
      </w:r>
      <w:r w:rsidRPr="00977945">
        <w:rPr>
          <w:lang w:val="pl-PL"/>
        </w:rPr>
        <w:t>było konieczne w celu zapewnienia standaryzacji praktyki dotyczącej oceny powagi niektórych przestępstw (zob. paragraf 76</w:t>
      </w:r>
      <w:r w:rsidR="000F46C5">
        <w:rPr>
          <w:lang w:val="pl-PL"/>
        </w:rPr>
        <w:t xml:space="preserve"> </w:t>
      </w:r>
      <w:r w:rsidRPr="00977945">
        <w:rPr>
          <w:lang w:val="pl-PL"/>
        </w:rPr>
        <w:t>powyżej). Trybunał zauważa jednak, że aspekt ten nie został poruszony w</w:t>
      </w:r>
      <w:r w:rsidR="00AE4551">
        <w:rPr>
          <w:lang w:val="pl-PL"/>
        </w:rPr>
        <w:t> </w:t>
      </w:r>
      <w:r w:rsidRPr="00977945">
        <w:rPr>
          <w:lang w:val="pl-PL"/>
        </w:rPr>
        <w:t>postanowieniu z dnia 7 stycznia 2009 r. Memorandum Prokuratora Generalnego, które zostało opublikowane długo po zaistnieniu stanu faktycznego, nie zawierało jednoznacznych wskazówek, jak należy interpretować art. 18</w:t>
      </w:r>
      <w:r w:rsidRPr="00977945">
        <w:rPr>
          <w:vertAlign w:val="superscript"/>
          <w:lang w:val="pl-PL"/>
        </w:rPr>
        <w:t>1</w:t>
      </w:r>
      <w:r w:rsidRPr="00977945">
        <w:rPr>
          <w:lang w:val="pl-PL"/>
        </w:rPr>
        <w:t xml:space="preserve"> Kodeksu karnego w kontekście wykroczeń i</w:t>
      </w:r>
      <w:r w:rsidR="000F46C5">
        <w:rPr>
          <w:lang w:val="pl-PL"/>
        </w:rPr>
        <w:t xml:space="preserve"> </w:t>
      </w:r>
      <w:r w:rsidRPr="00977945">
        <w:rPr>
          <w:lang w:val="pl-PL"/>
        </w:rPr>
        <w:t>przestępstw drogowych. W każdym razie powód przedstawiony przez Rząd – potrzeba harmonizacji praktyki w tej dziedzinie – nie jest objęty nadzwyczajnymi okolicznościami, o których mowa w art. 4 ust. 2 Protokołu nr 7, to znaczy pojawieniem się nowych lub</w:t>
      </w:r>
      <w:r w:rsidR="001F5A65">
        <w:rPr>
          <w:lang w:val="pl-PL"/>
        </w:rPr>
        <w:t> </w:t>
      </w:r>
      <w:r w:rsidRPr="00977945">
        <w:rPr>
          <w:lang w:val="pl-PL"/>
        </w:rPr>
        <w:t xml:space="preserve">nowo </w:t>
      </w:r>
      <w:r w:rsidR="00125DEC">
        <w:rPr>
          <w:lang w:val="pl-PL"/>
        </w:rPr>
        <w:t>ujawnionyc</w:t>
      </w:r>
      <w:r w:rsidR="00125DEC" w:rsidRPr="00977945">
        <w:rPr>
          <w:lang w:val="pl-PL"/>
        </w:rPr>
        <w:t>h</w:t>
      </w:r>
      <w:r w:rsidRPr="00977945">
        <w:rPr>
          <w:lang w:val="pl-PL"/>
        </w:rPr>
        <w:t xml:space="preserve"> faktów lub odkryciem </w:t>
      </w:r>
      <w:r w:rsidR="00A41C35" w:rsidRPr="00A41C35">
        <w:rPr>
          <w:lang w:val="pl-PL"/>
        </w:rPr>
        <w:t>rażącego uchybienia</w:t>
      </w:r>
      <w:r w:rsidRPr="00977945">
        <w:rPr>
          <w:lang w:val="pl-PL"/>
        </w:rPr>
        <w:t xml:space="preserve"> popełnione</w:t>
      </w:r>
      <w:r w:rsidR="00A41C35">
        <w:rPr>
          <w:lang w:val="pl-PL"/>
        </w:rPr>
        <w:t>go</w:t>
      </w:r>
      <w:r w:rsidRPr="00977945">
        <w:rPr>
          <w:lang w:val="pl-PL"/>
        </w:rPr>
        <w:t xml:space="preserve"> w</w:t>
      </w:r>
      <w:r w:rsidR="001F5A65">
        <w:rPr>
          <w:lang w:val="pl-PL"/>
        </w:rPr>
        <w:t> </w:t>
      </w:r>
      <w:r w:rsidRPr="00977945">
        <w:rPr>
          <w:lang w:val="pl-PL"/>
        </w:rPr>
        <w:t>poprzednim postępowaniu.</w:t>
      </w:r>
    </w:p>
    <w:p w14:paraId="09774509" w14:textId="041F036F" w:rsidR="009E53C0" w:rsidRPr="00977945" w:rsidRDefault="009E53C0" w:rsidP="000D30FE">
      <w:pPr>
        <w:pStyle w:val="ECHRPara"/>
        <w:rPr>
          <w:lang w:val="pl-PL"/>
        </w:rPr>
      </w:pPr>
      <w:r w:rsidRPr="00977945">
        <w:rPr>
          <w:lang w:val="pl-PL"/>
        </w:rPr>
        <w:t>137.</w:t>
      </w:r>
      <w:r>
        <w:rPr>
          <w:lang w:val="pl-PL"/>
        </w:rPr>
        <w:t xml:space="preserve"> </w:t>
      </w:r>
      <w:r w:rsidRPr="00977945">
        <w:rPr>
          <w:lang w:val="pl-PL"/>
        </w:rPr>
        <w:t xml:space="preserve">Niemniej zgodnie z tym samym postanowieniem z dnia 7 stycznia 2009 r., wznowienie postępowania w niniejszej sprawie było uzasadnione odmienną oceną okoliczności dokonaną przez prokuratora wyższego szczebla, która jego zdaniem powinna skutkować odpowiedzialnością karną, </w:t>
      </w:r>
      <w:r w:rsidRPr="00977945">
        <w:rPr>
          <w:lang w:val="pl-PL"/>
        </w:rPr>
        <w:lastRenderedPageBreak/>
        <w:t>a nie „administracyjną” po stronie skarżącego. Prokurator wyższego szczebla odniósł się również do nieadekwatności wymierzonej kary. Dokonano ponownej oceny powagi zarzutów stawianych skarżącemu oraz wymierzonej mu kary; nie wspomniano o konieczności usunięcia naruszenia przepisu proceduralnego lub poważnego zaniedbania w postępowaniu lub w</w:t>
      </w:r>
      <w:r w:rsidR="001F5A65">
        <w:rPr>
          <w:lang w:val="pl-PL"/>
        </w:rPr>
        <w:t> </w:t>
      </w:r>
      <w:r w:rsidRPr="00977945">
        <w:rPr>
          <w:lang w:val="pl-PL"/>
        </w:rPr>
        <w:t>dochodzeniu prowadzonym przez prokuraturę początkową. Jednak, jak</w:t>
      </w:r>
      <w:r w:rsidR="001F5A65">
        <w:rPr>
          <w:lang w:val="pl-PL"/>
        </w:rPr>
        <w:t> </w:t>
      </w:r>
      <w:r w:rsidRPr="00977945">
        <w:rPr>
          <w:lang w:val="pl-PL"/>
        </w:rPr>
        <w:t>wskazano powyżej, [zwykła] ponowna ocena faktów w świetle obowiązującego prawa nie stanowi „poważnej pomyłki” popełnionej w</w:t>
      </w:r>
      <w:r w:rsidR="001F5A65">
        <w:rPr>
          <w:lang w:val="pl-PL"/>
        </w:rPr>
        <w:t> </w:t>
      </w:r>
      <w:r w:rsidRPr="00977945">
        <w:rPr>
          <w:lang w:val="pl-PL"/>
        </w:rPr>
        <w:t xml:space="preserve">poprzednim postępowaniu (por. </w:t>
      </w:r>
      <w:r w:rsidRPr="00977945">
        <w:rPr>
          <w:i/>
          <w:iCs/>
          <w:lang w:val="pl-PL"/>
        </w:rPr>
        <w:t>Fadin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 32; </w:t>
      </w:r>
      <w:r w:rsidRPr="00977945">
        <w:rPr>
          <w:i/>
          <w:iCs/>
          <w:lang w:val="pl-PL"/>
        </w:rPr>
        <w:t>Bratyakin,</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oraz </w:t>
      </w:r>
      <w:r w:rsidRPr="00977945">
        <w:rPr>
          <w:i/>
          <w:iCs/>
          <w:lang w:val="pl-PL"/>
        </w:rPr>
        <w:t>Goncharovy</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xml:space="preserve">; i zob., odpowiednio, </w:t>
      </w:r>
      <w:r w:rsidRPr="00977945">
        <w:rPr>
          <w:i/>
          <w:iCs/>
          <w:lang w:val="pl-PL"/>
        </w:rPr>
        <w:t>Savinskiy przeciwko Ukrainie</w:t>
      </w:r>
      <w:r w:rsidRPr="00977945">
        <w:rPr>
          <w:lang w:val="pl-PL"/>
        </w:rPr>
        <w:t>, nr</w:t>
      </w:r>
      <w:r w:rsidR="000F46C5">
        <w:rPr>
          <w:lang w:val="pl-PL"/>
        </w:rPr>
        <w:t xml:space="preserve"> </w:t>
      </w:r>
      <w:r w:rsidRPr="00977945">
        <w:rPr>
          <w:lang w:val="pl-PL"/>
        </w:rPr>
        <w:t xml:space="preserve">6965/02, § 25, 28 lutego 2006 r., oraz </w:t>
      </w:r>
      <w:r w:rsidRPr="00977945">
        <w:rPr>
          <w:i/>
          <w:iCs/>
          <w:lang w:val="pl-PL"/>
        </w:rPr>
        <w:t>Bujniţa przeciwko Mołdawii</w:t>
      </w:r>
      <w:r w:rsidRPr="00977945">
        <w:rPr>
          <w:lang w:val="pl-PL"/>
        </w:rPr>
        <w:t>, nr</w:t>
      </w:r>
      <w:r w:rsidR="000F46C5">
        <w:rPr>
          <w:lang w:val="pl-PL"/>
        </w:rPr>
        <w:t xml:space="preserve"> </w:t>
      </w:r>
      <w:r w:rsidRPr="00977945">
        <w:rPr>
          <w:lang w:val="pl-PL"/>
        </w:rPr>
        <w:t>36492/02, § 23, 16 stycznia 2007 r.).</w:t>
      </w:r>
    </w:p>
    <w:p w14:paraId="3FA0167A" w14:textId="34D36EE6" w:rsidR="009E53C0" w:rsidRPr="00977945" w:rsidRDefault="009E53C0" w:rsidP="000D30FE">
      <w:pPr>
        <w:pStyle w:val="ECHRPara"/>
        <w:rPr>
          <w:lang w:val="pl-PL"/>
        </w:rPr>
      </w:pPr>
      <w:r w:rsidRPr="00977945">
        <w:rPr>
          <w:lang w:val="pl-PL"/>
        </w:rPr>
        <w:t>138.</w:t>
      </w:r>
      <w:r>
        <w:rPr>
          <w:lang w:val="pl-PL"/>
        </w:rPr>
        <w:t xml:space="preserve"> </w:t>
      </w:r>
      <w:r w:rsidRPr="00977945">
        <w:rPr>
          <w:lang w:val="pl-PL"/>
        </w:rPr>
        <w:t>Mając na uwadze powyższe, Trybunał uważa, że powody podane przez prokuraturę wyższego szczebla dla uzasadnienia wznowienia postępowania na podstawie postanowienia z dnia 7 stycznia 2009 r</w:t>
      </w:r>
      <w:r w:rsidR="00AC0165">
        <w:rPr>
          <w:lang w:val="pl-PL"/>
        </w:rPr>
        <w:t>.</w:t>
      </w:r>
      <w:r w:rsidRPr="00977945">
        <w:rPr>
          <w:lang w:val="pl-PL"/>
        </w:rPr>
        <w:t xml:space="preserve"> są</w:t>
      </w:r>
      <w:r w:rsidR="001F5A65">
        <w:rPr>
          <w:lang w:val="pl-PL"/>
        </w:rPr>
        <w:t> </w:t>
      </w:r>
      <w:r w:rsidRPr="00977945">
        <w:rPr>
          <w:lang w:val="pl-PL"/>
        </w:rPr>
        <w:t>sprzeczne z rygorystycznymi warunkami nałożonymi przez art. 4 ust. 2 Protokołu nr 7. Dlatego też wznowienie postępowania w niniejszej sprawie nie było uzasadnione wyjątkiem określonym w tym postanowieniu.</w:t>
      </w:r>
    </w:p>
    <w:p w14:paraId="7B8B269A" w14:textId="77777777" w:rsidR="009E53C0" w:rsidRPr="00977945" w:rsidRDefault="009E53C0" w:rsidP="000D30FE">
      <w:pPr>
        <w:pStyle w:val="ECHRHeading3"/>
        <w:rPr>
          <w:lang w:val="pl-PL"/>
        </w:rPr>
      </w:pPr>
      <w:r w:rsidRPr="00977945">
        <w:rPr>
          <w:lang w:val="pl-PL"/>
        </w:rPr>
        <w:t>4.</w:t>
      </w:r>
      <w:r>
        <w:rPr>
          <w:lang w:val="pl-PL"/>
        </w:rPr>
        <w:t xml:space="preserve"> </w:t>
      </w:r>
      <w:r w:rsidRPr="00977945">
        <w:rPr>
          <w:lang w:val="pl-PL"/>
        </w:rPr>
        <w:t>Wniosek ogólny</w:t>
      </w:r>
    </w:p>
    <w:p w14:paraId="2454CB72" w14:textId="436E2B65" w:rsidR="009E53C0" w:rsidRPr="00977945" w:rsidRDefault="009E53C0" w:rsidP="000D30FE">
      <w:pPr>
        <w:pStyle w:val="ECHRPara"/>
        <w:rPr>
          <w:i/>
          <w:iCs/>
          <w:lang w:val="pl-PL"/>
        </w:rPr>
      </w:pPr>
      <w:r w:rsidRPr="00977945">
        <w:rPr>
          <w:lang w:val="pl-PL"/>
        </w:rPr>
        <w:t>139.</w:t>
      </w:r>
      <w:r>
        <w:rPr>
          <w:lang w:val="pl-PL"/>
        </w:rPr>
        <w:t xml:space="preserve"> </w:t>
      </w:r>
      <w:r w:rsidRPr="00977945">
        <w:rPr>
          <w:lang w:val="pl-PL"/>
        </w:rPr>
        <w:t xml:space="preserve">Trybunał stwierdza, że skarżący został skazany na podstawie postanowienia z dnia 7 sierpnia 2008 r., które </w:t>
      </w:r>
      <w:r w:rsidR="002C2773">
        <w:rPr>
          <w:lang w:val="pl-PL"/>
        </w:rPr>
        <w:t>było</w:t>
      </w:r>
      <w:r w:rsidRPr="00977945">
        <w:rPr>
          <w:lang w:val="pl-PL"/>
        </w:rPr>
        <w:t xml:space="preserve"> prawomocne, gdy</w:t>
      </w:r>
      <w:r w:rsidR="001F5A65">
        <w:rPr>
          <w:lang w:val="pl-PL"/>
        </w:rPr>
        <w:t> </w:t>
      </w:r>
      <w:r w:rsidRPr="00977945">
        <w:rPr>
          <w:lang w:val="pl-PL"/>
        </w:rPr>
        <w:t xml:space="preserve">wszczęto kolejne postępowanie na mocy postanowienia z dnia 7 stycznia 2009 r. Zważywszy, że w niniejszej sprawie nie wystąpiła żadna z sytuacji pozwalających na </w:t>
      </w:r>
      <w:r w:rsidRPr="00977945">
        <w:rPr>
          <w:lang w:val="pl-PL"/>
        </w:rPr>
        <w:t>połączenie</w:t>
      </w:r>
      <w:r w:rsidRPr="00977945">
        <w:rPr>
          <w:lang w:val="pl-PL"/>
        </w:rPr>
        <w:t xml:space="preserve"> postępowań lub wznowienie postępowania, Trybunał doszedł do wniosku, że skarżący był sądzony dwukrotnie za</w:t>
      </w:r>
      <w:r w:rsidR="001F5A65">
        <w:rPr>
          <w:lang w:val="pl-PL"/>
        </w:rPr>
        <w:t> </w:t>
      </w:r>
      <w:r w:rsidRPr="00977945">
        <w:rPr>
          <w:lang w:val="pl-PL"/>
        </w:rPr>
        <w:t>to</w:t>
      </w:r>
      <w:r w:rsidR="001F5A65">
        <w:rPr>
          <w:lang w:val="pl-PL"/>
        </w:rPr>
        <w:t> </w:t>
      </w:r>
      <w:r w:rsidRPr="00977945">
        <w:rPr>
          <w:lang w:val="pl-PL"/>
        </w:rPr>
        <w:t xml:space="preserve">samo przestępstwo, z naruszeniem zasady </w:t>
      </w:r>
      <w:r w:rsidRPr="00977945">
        <w:rPr>
          <w:i/>
          <w:iCs/>
          <w:lang w:val="pl-PL"/>
        </w:rPr>
        <w:t>ne bis in idem</w:t>
      </w:r>
      <w:r w:rsidRPr="00977945">
        <w:rPr>
          <w:lang w:val="pl-PL"/>
        </w:rPr>
        <w:t>.</w:t>
      </w:r>
    </w:p>
    <w:p w14:paraId="640DA4A9" w14:textId="77777777" w:rsidR="009E53C0" w:rsidRPr="00977945" w:rsidRDefault="009E53C0" w:rsidP="000D30FE">
      <w:pPr>
        <w:pStyle w:val="ECHRPara"/>
        <w:rPr>
          <w:u w:val="single"/>
          <w:lang w:val="pl-PL"/>
        </w:rPr>
      </w:pPr>
      <w:r w:rsidRPr="00977945">
        <w:rPr>
          <w:lang w:val="pl-PL"/>
        </w:rPr>
        <w:t>W związku z tym doszło do naruszenia art. 4 Protokołu nr 7 do Konwencji.</w:t>
      </w:r>
    </w:p>
    <w:p w14:paraId="7A72D5D6" w14:textId="16E3FECA" w:rsidR="009E53C0" w:rsidRPr="00977945" w:rsidRDefault="009E53C0" w:rsidP="000D30FE">
      <w:pPr>
        <w:pStyle w:val="ECHRHeading1"/>
        <w:rPr>
          <w:lang w:val="pl-PL"/>
        </w:rPr>
      </w:pPr>
      <w:r w:rsidRPr="00977945">
        <w:rPr>
          <w:lang w:val="pl-PL"/>
        </w:rPr>
        <w:t>II. ZASTOSOWANIE ART.</w:t>
      </w:r>
      <w:r w:rsidR="000F46C5">
        <w:rPr>
          <w:lang w:val="pl-PL"/>
        </w:rPr>
        <w:t xml:space="preserve"> </w:t>
      </w:r>
      <w:r w:rsidRPr="00977945">
        <w:rPr>
          <w:lang w:val="pl-PL"/>
        </w:rPr>
        <w:t>41 KONWENCJI</w:t>
      </w:r>
    </w:p>
    <w:p w14:paraId="228268E8" w14:textId="77777777" w:rsidR="009E53C0" w:rsidRPr="00977945" w:rsidRDefault="009E53C0" w:rsidP="000D30FE">
      <w:pPr>
        <w:pStyle w:val="ECHRPara"/>
        <w:rPr>
          <w:lang w:val="pl-PL"/>
        </w:rPr>
      </w:pPr>
      <w:r w:rsidRPr="00977945">
        <w:rPr>
          <w:lang w:val="pl-PL"/>
        </w:rPr>
        <w:t>140.</w:t>
      </w:r>
      <w:r>
        <w:rPr>
          <w:lang w:val="pl-PL"/>
        </w:rPr>
        <w:t xml:space="preserve"> </w:t>
      </w:r>
      <w:r w:rsidRPr="00977945">
        <w:rPr>
          <w:lang w:val="pl-PL"/>
        </w:rPr>
        <w:t>Artykuł 41 Konwencji przewiduje:</w:t>
      </w:r>
    </w:p>
    <w:p w14:paraId="7FFF50FD" w14:textId="75A53C96" w:rsidR="009E53C0" w:rsidRPr="00977945" w:rsidRDefault="009E53C0" w:rsidP="000D30FE">
      <w:pPr>
        <w:pStyle w:val="ECHRParaQuote"/>
        <w:keepNext/>
        <w:keepLines/>
        <w:rPr>
          <w:lang w:val="pl-PL"/>
        </w:rPr>
      </w:pPr>
      <w:r w:rsidRPr="00977945">
        <w:rPr>
          <w:lang w:val="pl-PL"/>
        </w:rPr>
        <w:lastRenderedPageBreak/>
        <w:t>„</w:t>
      </w:r>
      <w:r w:rsidR="000F46C5" w:rsidRPr="000F46C5">
        <w:rPr>
          <w:lang w:val="pl-PL"/>
        </w:rPr>
        <w:t>Jeśli Trybunał stwierdzi, że nastąpiło naruszenie Konwencji lub jej protokołów, oraz</w:t>
      </w:r>
      <w:r w:rsidR="001F5A65">
        <w:rPr>
          <w:lang w:val="pl-PL"/>
        </w:rPr>
        <w:t> </w:t>
      </w:r>
      <w:r w:rsidR="000F46C5" w:rsidRPr="000F46C5">
        <w:rPr>
          <w:lang w:val="pl-PL"/>
        </w:rPr>
        <w:t>jeśli prawo wewnętrzne zainteresowanej Wysokiej Układającej się Strony pozwala tylko na częściowe usunięcie konsekwencji tego naruszenia, Trybunał orzeka, gdy</w:t>
      </w:r>
      <w:r w:rsidR="001F5A65">
        <w:rPr>
          <w:lang w:val="pl-PL"/>
        </w:rPr>
        <w:t> </w:t>
      </w:r>
      <w:r w:rsidR="000F46C5" w:rsidRPr="000F46C5">
        <w:rPr>
          <w:lang w:val="pl-PL"/>
        </w:rPr>
        <w:t>zachodzi potrzeba, słuszne zadośćuczynienie pokrzywdzonej stronie.</w:t>
      </w:r>
      <w:r w:rsidRPr="00977945">
        <w:rPr>
          <w:lang w:val="pl-PL"/>
        </w:rPr>
        <w:t>”.</w:t>
      </w:r>
    </w:p>
    <w:p w14:paraId="00D2E968" w14:textId="77777777" w:rsidR="009E53C0" w:rsidRPr="00977945" w:rsidRDefault="009E53C0" w:rsidP="000D30FE">
      <w:pPr>
        <w:pStyle w:val="ECHRHeading2"/>
        <w:rPr>
          <w:lang w:val="pl-PL"/>
        </w:rPr>
      </w:pPr>
      <w:r w:rsidRPr="00977945">
        <w:rPr>
          <w:lang w:val="pl-PL"/>
        </w:rPr>
        <w:t>A. Zadośćuczynienie</w:t>
      </w:r>
    </w:p>
    <w:p w14:paraId="3650F90C" w14:textId="267627CE" w:rsidR="009E53C0" w:rsidRPr="00977945" w:rsidRDefault="009E53C0" w:rsidP="000D30FE">
      <w:pPr>
        <w:pStyle w:val="ECHRPara"/>
        <w:rPr>
          <w:lang w:val="pl-PL"/>
        </w:rPr>
      </w:pPr>
      <w:r w:rsidRPr="00977945">
        <w:rPr>
          <w:lang w:val="pl-PL"/>
        </w:rPr>
        <w:t>141</w:t>
      </w:r>
      <w:r w:rsidRPr="00980E45">
        <w:rPr>
          <w:lang w:val="pl-PL"/>
        </w:rPr>
        <w:t>. W przedłożonym</w:t>
      </w:r>
      <w:r w:rsidRPr="00977945">
        <w:rPr>
          <w:lang w:val="pl-PL"/>
        </w:rPr>
        <w:t xml:space="preserve"> Izbie roszczeniu z tytułu słusznego zadośćuczynienia skarżący wniósł o przyznanie 15 000 (EUR) w</w:t>
      </w:r>
      <w:r w:rsidR="000F46C5">
        <w:rPr>
          <w:lang w:val="pl-PL"/>
        </w:rPr>
        <w:t xml:space="preserve"> </w:t>
      </w:r>
      <w:r w:rsidRPr="00977945">
        <w:rPr>
          <w:lang w:val="pl-PL"/>
        </w:rPr>
        <w:t xml:space="preserve">odniesieniu do szkody niemajątkowej. Rząd stwierdził, że każde stwierdzenie naruszenia może samo w sobie stanowić wystarczające zadośćuczynienie. </w:t>
      </w:r>
      <w:r w:rsidR="00980E45">
        <w:rPr>
          <w:lang w:val="pl-PL"/>
        </w:rPr>
        <w:t>Alternatywnie</w:t>
      </w:r>
      <w:r w:rsidRPr="00977945">
        <w:rPr>
          <w:lang w:val="pl-PL"/>
        </w:rPr>
        <w:t xml:space="preserve"> Rząd podniósł, że kwota roszczenia ma charakter spekulacyjny i jest wygórowana.</w:t>
      </w:r>
    </w:p>
    <w:p w14:paraId="5B6F1906" w14:textId="5F124724" w:rsidR="009E53C0" w:rsidRPr="00977945" w:rsidRDefault="009E53C0" w:rsidP="000D30FE">
      <w:pPr>
        <w:pStyle w:val="ECHRPara"/>
        <w:rPr>
          <w:lang w:val="pl-PL"/>
        </w:rPr>
      </w:pPr>
      <w:r w:rsidRPr="00977945">
        <w:rPr>
          <w:lang w:val="pl-PL"/>
        </w:rPr>
        <w:t>142.</w:t>
      </w:r>
      <w:r>
        <w:rPr>
          <w:lang w:val="pl-PL"/>
        </w:rPr>
        <w:t xml:space="preserve"> </w:t>
      </w:r>
      <w:r w:rsidRPr="00977945">
        <w:rPr>
          <w:lang w:val="pl-PL"/>
        </w:rPr>
        <w:t>Po zrzeczeniu się przez Izbę jurysdykcji na rzecz Wielkiej Izby, w</w:t>
      </w:r>
      <w:r w:rsidR="001F5A65">
        <w:rPr>
          <w:lang w:val="pl-PL"/>
        </w:rPr>
        <w:t> </w:t>
      </w:r>
      <w:r w:rsidRPr="00977945">
        <w:rPr>
          <w:lang w:val="pl-PL"/>
        </w:rPr>
        <w:t xml:space="preserve">celu uniknięcia skomplikowanych odniesień do uwag wcześniej przedłożonych Izbie, strony zostały wezwane do przedłożenia nowych uwag dotyczących dopuszczalności i </w:t>
      </w:r>
      <w:r w:rsidR="00980E45">
        <w:rPr>
          <w:lang w:val="pl-PL"/>
        </w:rPr>
        <w:t xml:space="preserve">przedmiotu </w:t>
      </w:r>
      <w:r w:rsidRPr="00977945">
        <w:rPr>
          <w:lang w:val="pl-PL"/>
        </w:rPr>
        <w:t>skargi do dnia 14 czerwca 2018 r. Ponadto skarżący został wezwany do ponownego złożenia roszczenia z</w:t>
      </w:r>
      <w:r w:rsidR="000F46C5">
        <w:rPr>
          <w:lang w:val="pl-PL"/>
        </w:rPr>
        <w:t xml:space="preserve"> </w:t>
      </w:r>
      <w:r w:rsidRPr="00977945">
        <w:rPr>
          <w:lang w:val="pl-PL"/>
        </w:rPr>
        <w:t>tytułu słusznego zadośćuczynienia.</w:t>
      </w:r>
    </w:p>
    <w:p w14:paraId="501FF46A" w14:textId="5B402BA2" w:rsidR="009E53C0" w:rsidRPr="00977945" w:rsidRDefault="009E53C0" w:rsidP="000D30FE">
      <w:pPr>
        <w:pStyle w:val="ECHRPara"/>
        <w:rPr>
          <w:lang w:val="pl-PL"/>
        </w:rPr>
      </w:pPr>
      <w:r w:rsidRPr="00977945">
        <w:rPr>
          <w:lang w:val="pl-PL"/>
        </w:rPr>
        <w:t>143.</w:t>
      </w:r>
      <w:r>
        <w:rPr>
          <w:lang w:val="pl-PL"/>
        </w:rPr>
        <w:t xml:space="preserve"> </w:t>
      </w:r>
      <w:r w:rsidRPr="00977945">
        <w:rPr>
          <w:lang w:val="pl-PL"/>
        </w:rPr>
        <w:t>W swoich uwagach z dnia 14 czerwca 2018 r. przed Wielką Izbą skarżący nie przedstawił żadnych konkretnych roszczeń dotyczących słusznego zadośćuczynienia. Na rozprawie przed Wielką Izbą jego pełnomocnik zakończył jednak swoje wystąpienie, wnosząc o „zasądzenie na</w:t>
      </w:r>
      <w:r w:rsidR="001F5A65">
        <w:rPr>
          <w:lang w:val="pl-PL"/>
        </w:rPr>
        <w:t> </w:t>
      </w:r>
      <w:r w:rsidRPr="00977945">
        <w:rPr>
          <w:lang w:val="pl-PL"/>
        </w:rPr>
        <w:t>rzecz skarżącego kwoty uprzednio żądanej tytułem słusznego zadośćuczynienia”.</w:t>
      </w:r>
    </w:p>
    <w:p w14:paraId="74F05C4C" w14:textId="47D6D3D9" w:rsidR="009E53C0" w:rsidRPr="00977945" w:rsidRDefault="009E53C0" w:rsidP="000D30FE">
      <w:pPr>
        <w:pStyle w:val="ECHRPara"/>
        <w:rPr>
          <w:lang w:val="pl-PL"/>
        </w:rPr>
      </w:pPr>
      <w:r w:rsidRPr="00977945">
        <w:rPr>
          <w:lang w:val="pl-PL"/>
        </w:rPr>
        <w:t>144.</w:t>
      </w:r>
      <w:r>
        <w:rPr>
          <w:lang w:val="pl-PL"/>
        </w:rPr>
        <w:t xml:space="preserve"> </w:t>
      </w:r>
      <w:r w:rsidRPr="00977945">
        <w:rPr>
          <w:lang w:val="pl-PL"/>
        </w:rPr>
        <w:t>W związku z tymi wskazówkami Rząd nie poczynił żadnych uwag w</w:t>
      </w:r>
      <w:r w:rsidR="001F5A65">
        <w:rPr>
          <w:lang w:val="pl-PL"/>
        </w:rPr>
        <w:t> </w:t>
      </w:r>
      <w:r w:rsidRPr="00977945">
        <w:rPr>
          <w:lang w:val="pl-PL"/>
        </w:rPr>
        <w:t>kwestii słusznego zadośćuczynienia.</w:t>
      </w:r>
    </w:p>
    <w:p w14:paraId="4411CEFD" w14:textId="23030070" w:rsidR="009E53C0" w:rsidRPr="00977945" w:rsidRDefault="009E53C0" w:rsidP="000D30FE">
      <w:pPr>
        <w:pStyle w:val="ECHRPara"/>
        <w:rPr>
          <w:i/>
          <w:iCs/>
          <w:lang w:val="pl-PL"/>
        </w:rPr>
      </w:pPr>
      <w:r w:rsidRPr="00977945">
        <w:rPr>
          <w:lang w:val="pl-PL"/>
        </w:rPr>
        <w:t>145.</w:t>
      </w:r>
      <w:r>
        <w:rPr>
          <w:lang w:val="pl-PL"/>
        </w:rPr>
        <w:t xml:space="preserve"> </w:t>
      </w:r>
      <w:r w:rsidRPr="00977945">
        <w:rPr>
          <w:lang w:val="pl-PL"/>
        </w:rPr>
        <w:t xml:space="preserve">Trybunał przypomina, że </w:t>
      </w:r>
      <w:r w:rsidRPr="00977945">
        <w:rPr>
          <w:color w:val="000000"/>
          <w:lang w:val="pl-PL"/>
        </w:rPr>
        <w:t xml:space="preserve">art. 41 uprawnia go do przyznania stronie poszkodowanej takiego zadośćuczynienia, jakie wydaje się właściwe </w:t>
      </w:r>
      <w:r w:rsidRPr="00977945">
        <w:rPr>
          <w:lang w:val="pl-PL"/>
        </w:rPr>
        <w:t>(zob.</w:t>
      </w:r>
      <w:r w:rsidR="001F5A65">
        <w:rPr>
          <w:lang w:val="pl-PL"/>
        </w:rPr>
        <w:t> </w:t>
      </w:r>
      <w:r w:rsidRPr="00977945">
        <w:rPr>
          <w:i/>
          <w:iCs/>
          <w:lang w:val="pl-PL"/>
        </w:rPr>
        <w:t xml:space="preserve">Karácsony i Inni przeciwko Węgrom </w:t>
      </w:r>
      <w:r w:rsidRPr="00977945">
        <w:rPr>
          <w:lang w:val="pl-PL"/>
        </w:rPr>
        <w:t>[WI], nr</w:t>
      </w:r>
      <w:r w:rsidR="000F46C5">
        <w:rPr>
          <w:lang w:val="pl-PL"/>
        </w:rPr>
        <w:t xml:space="preserve"> </w:t>
      </w:r>
      <w:r w:rsidRPr="00977945">
        <w:rPr>
          <w:lang w:val="pl-PL"/>
        </w:rPr>
        <w:t>42461/13 i 44357/13</w:t>
      </w:r>
      <w:r w:rsidRPr="00977945">
        <w:rPr>
          <w:snapToGrid w:val="0"/>
          <w:lang w:val="pl-PL"/>
        </w:rPr>
        <w:t>, §</w:t>
      </w:r>
      <w:r w:rsidR="001F5A65">
        <w:rPr>
          <w:snapToGrid w:val="0"/>
          <w:lang w:val="pl-PL"/>
        </w:rPr>
        <w:t> </w:t>
      </w:r>
      <w:r w:rsidRPr="00977945">
        <w:rPr>
          <w:snapToGrid w:val="0"/>
          <w:lang w:val="pl-PL"/>
        </w:rPr>
        <w:t>179, 17</w:t>
      </w:r>
      <w:r w:rsidR="000F46C5">
        <w:rPr>
          <w:snapToGrid w:val="0"/>
          <w:lang w:val="pl-PL"/>
        </w:rPr>
        <w:t xml:space="preserve"> </w:t>
      </w:r>
      <w:r w:rsidRPr="00977945">
        <w:rPr>
          <w:snapToGrid w:val="0"/>
          <w:lang w:val="pl-PL"/>
        </w:rPr>
        <w:t>maja 2016 r.,</w:t>
      </w:r>
      <w:r w:rsidRPr="00977945">
        <w:rPr>
          <w:lang w:val="pl-PL"/>
        </w:rPr>
        <w:t xml:space="preserve"> oraz </w:t>
      </w:r>
      <w:r w:rsidRPr="00977945">
        <w:rPr>
          <w:i/>
          <w:iCs/>
          <w:lang w:val="pl-PL"/>
        </w:rPr>
        <w:t>Lopes de Sousa Fernandes przeciwko Portugalii</w:t>
      </w:r>
      <w:r w:rsidRPr="00977945">
        <w:rPr>
          <w:lang w:val="pl-PL"/>
        </w:rPr>
        <w:t xml:space="preserve"> [WI], nr</w:t>
      </w:r>
      <w:r w:rsidR="000F46C5">
        <w:rPr>
          <w:lang w:val="pl-PL"/>
        </w:rPr>
        <w:t xml:space="preserve"> </w:t>
      </w:r>
      <w:r w:rsidRPr="00977945">
        <w:rPr>
          <w:lang w:val="pl-PL"/>
        </w:rPr>
        <w:t>56080/13, §</w:t>
      </w:r>
      <w:r w:rsidR="000F46C5">
        <w:rPr>
          <w:lang w:val="pl-PL"/>
        </w:rPr>
        <w:t xml:space="preserve"> </w:t>
      </w:r>
      <w:r w:rsidRPr="00977945">
        <w:rPr>
          <w:lang w:val="pl-PL"/>
        </w:rPr>
        <w:t>245, 19</w:t>
      </w:r>
      <w:r w:rsidR="000F46C5">
        <w:rPr>
          <w:lang w:val="pl-PL"/>
        </w:rPr>
        <w:t xml:space="preserve"> </w:t>
      </w:r>
      <w:r w:rsidRPr="00977945">
        <w:rPr>
          <w:lang w:val="pl-PL"/>
        </w:rPr>
        <w:t>grudnia 2017 r.).</w:t>
      </w:r>
    </w:p>
    <w:p w14:paraId="7A3E91A7" w14:textId="62B3B5B3" w:rsidR="009E53C0" w:rsidRPr="00977945" w:rsidRDefault="009E53C0" w:rsidP="000D30FE">
      <w:pPr>
        <w:pStyle w:val="ECHRPara"/>
        <w:rPr>
          <w:lang w:val="pl-PL"/>
        </w:rPr>
      </w:pPr>
      <w:r w:rsidRPr="00977945">
        <w:rPr>
          <w:lang w:val="pl-PL"/>
        </w:rPr>
        <w:t>146.</w:t>
      </w:r>
      <w:r>
        <w:rPr>
          <w:lang w:val="pl-PL"/>
        </w:rPr>
        <w:t xml:space="preserve"> </w:t>
      </w:r>
      <w:r w:rsidRPr="00977945">
        <w:rPr>
          <w:lang w:val="pl-PL"/>
        </w:rPr>
        <w:t>Zauważa w związku z tym, że nie ulega wątpliwości, iż żądanie słusznego zadośćuczynienia zostało należycie przedstawione Izbie w</w:t>
      </w:r>
      <w:r w:rsidR="001F5A65">
        <w:rPr>
          <w:lang w:val="pl-PL"/>
        </w:rPr>
        <w:t> </w:t>
      </w:r>
      <w:r w:rsidRPr="00977945">
        <w:rPr>
          <w:lang w:val="pl-PL"/>
        </w:rPr>
        <w:t xml:space="preserve">przewidzianym terminie w ramach postępowania po doręczeniu skargi (por. </w:t>
      </w:r>
      <w:r w:rsidRPr="00977945">
        <w:rPr>
          <w:i/>
          <w:iCs/>
          <w:lang w:val="pl-PL"/>
        </w:rPr>
        <w:t xml:space="preserve">Schatschaschwili przeciwko Niemcom </w:t>
      </w:r>
      <w:r w:rsidRPr="00977945">
        <w:rPr>
          <w:lang w:val="pl-PL"/>
        </w:rPr>
        <w:t>[WI], nr</w:t>
      </w:r>
      <w:r w:rsidR="000F46C5">
        <w:rPr>
          <w:lang w:val="pl-PL"/>
        </w:rPr>
        <w:t xml:space="preserve"> </w:t>
      </w:r>
      <w:r w:rsidRPr="00977945">
        <w:rPr>
          <w:lang w:val="pl-PL"/>
        </w:rPr>
        <w:t>9154/10, §</w:t>
      </w:r>
      <w:r w:rsidR="000F46C5">
        <w:rPr>
          <w:lang w:val="pl-PL"/>
        </w:rPr>
        <w:t xml:space="preserve"> </w:t>
      </w:r>
      <w:r w:rsidRPr="00977945">
        <w:rPr>
          <w:lang w:val="pl-PL"/>
        </w:rPr>
        <w:t xml:space="preserve">167, </w:t>
      </w:r>
      <w:r w:rsidR="000F46C5">
        <w:rPr>
          <w:lang w:val="pl-PL"/>
        </w:rPr>
        <w:t>ETPC</w:t>
      </w:r>
      <w:r w:rsidR="001F5A65">
        <w:rPr>
          <w:lang w:val="pl-PL"/>
        </w:rPr>
        <w:t> </w:t>
      </w:r>
      <w:r w:rsidRPr="00977945">
        <w:rPr>
          <w:lang w:val="pl-PL"/>
        </w:rPr>
        <w:t xml:space="preserve">2015, oraz </w:t>
      </w:r>
      <w:r w:rsidRPr="00977945">
        <w:rPr>
          <w:i/>
          <w:iCs/>
          <w:lang w:val="pl-PL"/>
        </w:rPr>
        <w:t xml:space="preserve">Nagmetov przeciwko Rosji </w:t>
      </w:r>
      <w:r w:rsidRPr="00977945">
        <w:rPr>
          <w:lang w:val="pl-PL"/>
        </w:rPr>
        <w:t>[WI], nr</w:t>
      </w:r>
      <w:r w:rsidR="000F46C5">
        <w:rPr>
          <w:lang w:val="pl-PL"/>
        </w:rPr>
        <w:t xml:space="preserve"> </w:t>
      </w:r>
      <w:r w:rsidRPr="00977945">
        <w:rPr>
          <w:lang w:val="pl-PL"/>
        </w:rPr>
        <w:t>35589/08, §</w:t>
      </w:r>
      <w:r w:rsidR="000F46C5">
        <w:rPr>
          <w:lang w:val="pl-PL"/>
        </w:rPr>
        <w:t xml:space="preserve"> </w:t>
      </w:r>
      <w:r w:rsidRPr="00977945">
        <w:rPr>
          <w:lang w:val="pl-PL"/>
        </w:rPr>
        <w:t>62, 30</w:t>
      </w:r>
      <w:r w:rsidR="001F5A65">
        <w:rPr>
          <w:lang w:val="pl-PL"/>
        </w:rPr>
        <w:t> </w:t>
      </w:r>
      <w:r w:rsidRPr="00977945">
        <w:rPr>
          <w:lang w:val="pl-PL"/>
        </w:rPr>
        <w:t>marca 2017 r.). Trybunał zauważa ponadto, że chociaż skarżący nie zgłosił żadnego nowego roszczenia o słuszne zadośćuczynienie w terminie wyznaczonym w postępowaniu przed Wielką Izbą, to następnie odniósł się do swojego roszczenia przed Izbą Rząd, który miał możliwość ustosunkowania się do tego roszczenia podczas rozprawy, nie zgłosił sprzeciwu.</w:t>
      </w:r>
    </w:p>
    <w:p w14:paraId="4D66BA63" w14:textId="69083AC9" w:rsidR="009E53C0" w:rsidRPr="00977945" w:rsidRDefault="009E53C0" w:rsidP="000D30FE">
      <w:pPr>
        <w:pStyle w:val="ECHRPara"/>
        <w:rPr>
          <w:lang w:val="pl-PL"/>
        </w:rPr>
      </w:pPr>
      <w:r w:rsidRPr="00977945">
        <w:rPr>
          <w:lang w:val="pl-PL"/>
        </w:rPr>
        <w:lastRenderedPageBreak/>
        <w:t>147.</w:t>
      </w:r>
      <w:r>
        <w:rPr>
          <w:lang w:val="pl-PL"/>
        </w:rPr>
        <w:t xml:space="preserve"> </w:t>
      </w:r>
      <w:r w:rsidRPr="00977945">
        <w:rPr>
          <w:lang w:val="pl-PL"/>
        </w:rPr>
        <w:t xml:space="preserve">Mając na uwadze powyższe, Trybunał </w:t>
      </w:r>
      <w:r w:rsidR="00980E45">
        <w:rPr>
          <w:lang w:val="pl-PL"/>
        </w:rPr>
        <w:t>przyjmuje</w:t>
      </w:r>
      <w:r w:rsidRPr="00977945">
        <w:rPr>
          <w:lang w:val="pl-PL"/>
        </w:rPr>
        <w:t xml:space="preserve">, że w niniejszej sprawie zostało </w:t>
      </w:r>
      <w:r w:rsidR="00980E45">
        <w:rPr>
          <w:lang w:val="pl-PL"/>
        </w:rPr>
        <w:t xml:space="preserve">przed nim </w:t>
      </w:r>
      <w:r w:rsidRPr="00977945">
        <w:rPr>
          <w:lang w:val="pl-PL"/>
        </w:rPr>
        <w:t>zgłoszone „roszczenie” z</w:t>
      </w:r>
      <w:r w:rsidR="000F46C5">
        <w:rPr>
          <w:lang w:val="pl-PL"/>
        </w:rPr>
        <w:t xml:space="preserve"> </w:t>
      </w:r>
      <w:r w:rsidRPr="00977945">
        <w:rPr>
          <w:lang w:val="pl-PL"/>
        </w:rPr>
        <w:t>tytułu</w:t>
      </w:r>
      <w:r w:rsidR="000F46C5">
        <w:rPr>
          <w:lang w:val="pl-PL"/>
        </w:rPr>
        <w:t xml:space="preserve"> </w:t>
      </w:r>
      <w:r w:rsidRPr="00977945">
        <w:rPr>
          <w:lang w:val="pl-PL"/>
        </w:rPr>
        <w:t>słusznego zadośćuczynienia.</w:t>
      </w:r>
    </w:p>
    <w:p w14:paraId="79095894" w14:textId="14AE3A3E" w:rsidR="009E53C0" w:rsidRPr="00977945" w:rsidRDefault="009E53C0" w:rsidP="000D30FE">
      <w:pPr>
        <w:pStyle w:val="ECHRPara"/>
        <w:rPr>
          <w:i/>
          <w:iCs/>
          <w:lang w:val="pl-PL"/>
        </w:rPr>
      </w:pPr>
      <w:r w:rsidRPr="00977945">
        <w:rPr>
          <w:lang w:val="pl-PL"/>
        </w:rPr>
        <w:t>148.</w:t>
      </w:r>
      <w:r>
        <w:rPr>
          <w:lang w:val="pl-PL"/>
        </w:rPr>
        <w:t xml:space="preserve"> </w:t>
      </w:r>
      <w:r w:rsidRPr="00977945">
        <w:rPr>
          <w:lang w:val="pl-PL"/>
        </w:rPr>
        <w:t>Trybunał uważa w tym względzie, że samo stwierdzenie naruszenia nie jest wystarczające dla zrekompensowania skarżącemu poczucia niesprawiedliwości i frustracji, jakie musiał odczuwać w związku ze</w:t>
      </w:r>
      <w:r w:rsidR="001F5A65">
        <w:rPr>
          <w:lang w:val="pl-PL"/>
        </w:rPr>
        <w:t> </w:t>
      </w:r>
      <w:r w:rsidRPr="00977945">
        <w:rPr>
          <w:lang w:val="pl-PL"/>
        </w:rPr>
        <w:t xml:space="preserve">wznowieniem postępowania (podobnie, zob., </w:t>
      </w:r>
      <w:r w:rsidRPr="00977945">
        <w:rPr>
          <w:i/>
          <w:iCs/>
          <w:lang w:val="pl-PL"/>
        </w:rPr>
        <w:t>Jóhannesson i Inni</w:t>
      </w:r>
      <w:r w:rsidRPr="00977945">
        <w:rPr>
          <w:lang w:val="pl-PL"/>
        </w:rPr>
        <w:t xml:space="preserve">, </w:t>
      </w:r>
      <w:r w:rsidRPr="00977945">
        <w:rPr>
          <w:i/>
          <w:iCs/>
          <w:lang w:val="pl-PL"/>
        </w:rPr>
        <w:t>op.</w:t>
      </w:r>
      <w:r>
        <w:rPr>
          <w:i/>
          <w:iCs/>
          <w:lang w:val="pl-PL"/>
        </w:rPr>
        <w:t xml:space="preserve"> </w:t>
      </w:r>
      <w:r w:rsidRPr="00977945">
        <w:rPr>
          <w:i/>
          <w:iCs/>
          <w:lang w:val="pl-PL"/>
        </w:rPr>
        <w:t>cit.</w:t>
      </w:r>
      <w:r w:rsidRPr="00977945">
        <w:rPr>
          <w:lang w:val="pl-PL"/>
        </w:rPr>
        <w:t>, §</w:t>
      </w:r>
      <w:r w:rsidR="000F46C5">
        <w:rPr>
          <w:lang w:val="pl-PL"/>
        </w:rPr>
        <w:t xml:space="preserve"> </w:t>
      </w:r>
      <w:r w:rsidRPr="00977945">
        <w:rPr>
          <w:lang w:val="pl-PL"/>
        </w:rPr>
        <w:t>61). Zważywszy na stwierdzony charakter naruszenia i dokonując oceny na</w:t>
      </w:r>
      <w:r w:rsidR="001F5A65">
        <w:rPr>
          <w:lang w:val="pl-PL"/>
        </w:rPr>
        <w:t> </w:t>
      </w:r>
      <w:r w:rsidRPr="00977945">
        <w:rPr>
          <w:lang w:val="pl-PL"/>
        </w:rPr>
        <w:t>podstawie zasady słuszności, Trybunał przyznaje skarżącemu łączą</w:t>
      </w:r>
      <w:r w:rsidR="000F46C5">
        <w:rPr>
          <w:lang w:val="pl-PL"/>
        </w:rPr>
        <w:t xml:space="preserve"> kwotę 5</w:t>
      </w:r>
      <w:r w:rsidRPr="00977945">
        <w:rPr>
          <w:lang w:val="pl-PL"/>
        </w:rPr>
        <w:t>000 EUR zadośćuczynienia za szkodę niemajątkową.</w:t>
      </w:r>
    </w:p>
    <w:p w14:paraId="76982631" w14:textId="77777777" w:rsidR="009E53C0" w:rsidRPr="00977945" w:rsidRDefault="009E53C0" w:rsidP="000D30FE">
      <w:pPr>
        <w:pStyle w:val="ECHRHeading2"/>
        <w:rPr>
          <w:lang w:val="pl-PL"/>
        </w:rPr>
      </w:pPr>
      <w:r w:rsidRPr="00934107">
        <w:rPr>
          <w:lang w:val="pl-PL"/>
        </w:rPr>
        <w:t>B. Koszty i</w:t>
      </w:r>
      <w:r w:rsidRPr="00977945">
        <w:rPr>
          <w:lang w:val="pl-PL"/>
        </w:rPr>
        <w:t xml:space="preserve"> wydatki</w:t>
      </w:r>
    </w:p>
    <w:p w14:paraId="45FE0C87" w14:textId="34B9742A" w:rsidR="009E53C0" w:rsidRPr="00977945" w:rsidRDefault="009E53C0" w:rsidP="000D30FE">
      <w:pPr>
        <w:pStyle w:val="ECHRPara"/>
        <w:rPr>
          <w:lang w:val="pl-PL"/>
        </w:rPr>
      </w:pPr>
      <w:r w:rsidRPr="00977945">
        <w:rPr>
          <w:lang w:val="pl-PL"/>
        </w:rPr>
        <w:t>149.</w:t>
      </w:r>
      <w:r>
        <w:rPr>
          <w:lang w:val="pl-PL"/>
        </w:rPr>
        <w:t xml:space="preserve"> </w:t>
      </w:r>
      <w:r w:rsidRPr="00977945">
        <w:rPr>
          <w:lang w:val="pl-PL"/>
        </w:rPr>
        <w:t xml:space="preserve">Skarżący, któremu przyznano </w:t>
      </w:r>
      <w:r w:rsidR="00D02E44">
        <w:rPr>
          <w:lang w:val="pl-PL"/>
        </w:rPr>
        <w:t xml:space="preserve">bezpłatną </w:t>
      </w:r>
      <w:r w:rsidRPr="00977945">
        <w:rPr>
          <w:lang w:val="pl-PL"/>
        </w:rPr>
        <w:t>pomoc prawną w</w:t>
      </w:r>
      <w:r w:rsidR="001F5A65">
        <w:rPr>
          <w:lang w:val="pl-PL"/>
        </w:rPr>
        <w:t> </w:t>
      </w:r>
      <w:r w:rsidRPr="00977945">
        <w:rPr>
          <w:lang w:val="pl-PL"/>
        </w:rPr>
        <w:t>postępowaniu przed Wielką Izbą, dochodził przed Izbą kwoty 570 EUR z</w:t>
      </w:r>
      <w:r w:rsidR="001F5A65">
        <w:rPr>
          <w:lang w:val="pl-PL"/>
        </w:rPr>
        <w:t> </w:t>
      </w:r>
      <w:r w:rsidRPr="00977945">
        <w:rPr>
          <w:lang w:val="pl-PL"/>
        </w:rPr>
        <w:t>tytułu kosztów i</w:t>
      </w:r>
      <w:r w:rsidR="000F46C5">
        <w:rPr>
          <w:lang w:val="pl-PL"/>
        </w:rPr>
        <w:t xml:space="preserve"> </w:t>
      </w:r>
      <w:r w:rsidRPr="00977945">
        <w:rPr>
          <w:lang w:val="pl-PL"/>
        </w:rPr>
        <w:t>wydatków poniesionych przed sądami krajowymi i</w:t>
      </w:r>
      <w:r w:rsidR="001F5A65">
        <w:rPr>
          <w:lang w:val="pl-PL"/>
        </w:rPr>
        <w:t> </w:t>
      </w:r>
      <w:r w:rsidRPr="00977945">
        <w:rPr>
          <w:lang w:val="pl-PL"/>
        </w:rPr>
        <w:t>Trybunałem.</w:t>
      </w:r>
    </w:p>
    <w:p w14:paraId="3E337215" w14:textId="49AA2D26" w:rsidR="009E53C0" w:rsidRPr="00977945" w:rsidRDefault="009E53C0" w:rsidP="000D30FE">
      <w:pPr>
        <w:pStyle w:val="ECHRPara"/>
        <w:rPr>
          <w:lang w:val="pl-PL"/>
        </w:rPr>
      </w:pPr>
      <w:r w:rsidRPr="00977945">
        <w:rPr>
          <w:lang w:val="pl-PL"/>
        </w:rPr>
        <w:t>150.</w:t>
      </w:r>
      <w:r>
        <w:rPr>
          <w:lang w:val="pl-PL"/>
        </w:rPr>
        <w:t xml:space="preserve"> </w:t>
      </w:r>
      <w:r w:rsidRPr="00977945">
        <w:rPr>
          <w:lang w:val="pl-PL"/>
        </w:rPr>
        <w:t>Rząd argumentował przed Izbą, że koszty poniesione przed sądami krajowymi nie miały związku przyczynowego z naruszeniem Konwencji zarzucanym przez skarżącego. W odniesieniu do kosztów poniesionych w</w:t>
      </w:r>
      <w:r w:rsidR="001F5A65">
        <w:rPr>
          <w:lang w:val="pl-PL"/>
        </w:rPr>
        <w:t> </w:t>
      </w:r>
      <w:r w:rsidRPr="00977945">
        <w:rPr>
          <w:lang w:val="pl-PL"/>
        </w:rPr>
        <w:t>trakcie postępowania przed Trybunałem, Rząd podnosi, że nie zostały one potwierdzone odpowiednimi dokumentami.</w:t>
      </w:r>
    </w:p>
    <w:p w14:paraId="56AC5DB4" w14:textId="2092E5FF" w:rsidR="009E53C0" w:rsidRPr="00977945" w:rsidRDefault="009E53C0" w:rsidP="000D30FE">
      <w:pPr>
        <w:pStyle w:val="ECHRPara"/>
        <w:rPr>
          <w:i/>
          <w:iCs/>
          <w:lang w:val="pl-PL"/>
        </w:rPr>
      </w:pPr>
      <w:r w:rsidRPr="00977945">
        <w:rPr>
          <w:lang w:val="pl-PL"/>
        </w:rPr>
        <w:t>151.</w:t>
      </w:r>
      <w:r>
        <w:rPr>
          <w:lang w:val="pl-PL"/>
        </w:rPr>
        <w:t xml:space="preserve"> </w:t>
      </w:r>
      <w:r w:rsidRPr="00977945">
        <w:rPr>
          <w:lang w:val="pl-PL"/>
        </w:rPr>
        <w:t xml:space="preserve">Trybunał zauważa, że skarżącemu przyznano </w:t>
      </w:r>
      <w:r w:rsidR="00934107">
        <w:rPr>
          <w:lang w:val="pl-PL"/>
        </w:rPr>
        <w:t>bezpłatną</w:t>
      </w:r>
      <w:r w:rsidR="00934107" w:rsidRPr="00977945">
        <w:rPr>
          <w:lang w:val="pl-PL"/>
        </w:rPr>
        <w:t xml:space="preserve"> </w:t>
      </w:r>
      <w:r w:rsidRPr="00977945">
        <w:rPr>
          <w:lang w:val="pl-PL"/>
        </w:rPr>
        <w:t>pomoc prawną w</w:t>
      </w:r>
      <w:r w:rsidR="000F46C5">
        <w:rPr>
          <w:lang w:val="pl-PL"/>
        </w:rPr>
        <w:t xml:space="preserve"> </w:t>
      </w:r>
      <w:r w:rsidRPr="00977945">
        <w:rPr>
          <w:lang w:val="pl-PL"/>
        </w:rPr>
        <w:t xml:space="preserve">zakresie kosztów i wydatków poniesionych w postępowaniu przed Wielką Izbą. Niemniej biorąc pod uwagę </w:t>
      </w:r>
      <w:r w:rsidR="00934107">
        <w:rPr>
          <w:lang w:val="pl-PL"/>
        </w:rPr>
        <w:t>roszczenie przedłożone</w:t>
      </w:r>
      <w:r w:rsidRPr="00977945">
        <w:rPr>
          <w:lang w:val="pl-PL"/>
        </w:rPr>
        <w:t xml:space="preserve"> Izbie, dokumenty znajdujące się w je</w:t>
      </w:r>
      <w:r w:rsidR="00934107">
        <w:rPr>
          <w:lang w:val="pl-PL"/>
        </w:rPr>
        <w:t>go</w:t>
      </w:r>
      <w:r w:rsidRPr="00977945">
        <w:rPr>
          <w:lang w:val="pl-PL"/>
        </w:rPr>
        <w:t xml:space="preserve"> posiadaniu, </w:t>
      </w:r>
      <w:r w:rsidR="00D164D5">
        <w:rPr>
          <w:lang w:val="pl-PL"/>
        </w:rPr>
        <w:t xml:space="preserve">swoje </w:t>
      </w:r>
      <w:r w:rsidRPr="00977945">
        <w:rPr>
          <w:lang w:val="pl-PL"/>
        </w:rPr>
        <w:t>orzecznictwo oraz fakt, że skarżący był zmuszony do podjęcia obrony w postępowaniu karnym, które zostało wszczęte i wznowione z naruszeniem art. 4 Protokołu nr 7 do</w:t>
      </w:r>
      <w:r w:rsidR="001F5A65">
        <w:rPr>
          <w:lang w:val="pl-PL"/>
        </w:rPr>
        <w:t> </w:t>
      </w:r>
      <w:r w:rsidRPr="00977945">
        <w:rPr>
          <w:lang w:val="pl-PL"/>
        </w:rPr>
        <w:t xml:space="preserve">Konwencji (zob. </w:t>
      </w:r>
      <w:r w:rsidRPr="00977945">
        <w:rPr>
          <w:i/>
          <w:iCs/>
          <w:lang w:val="pl-PL"/>
        </w:rPr>
        <w:t>Grande Stevens i Inni przeciwko Włochom</w:t>
      </w:r>
      <w:r w:rsidRPr="00977945">
        <w:rPr>
          <w:lang w:val="pl-PL"/>
        </w:rPr>
        <w:t>, nr 18640/10 i</w:t>
      </w:r>
      <w:r w:rsidR="000F46C5">
        <w:rPr>
          <w:lang w:val="pl-PL"/>
        </w:rPr>
        <w:t xml:space="preserve"> </w:t>
      </w:r>
      <w:r w:rsidRPr="00977945">
        <w:rPr>
          <w:lang w:val="pl-PL"/>
        </w:rPr>
        <w:t>4</w:t>
      </w:r>
      <w:r w:rsidR="000F46C5">
        <w:rPr>
          <w:lang w:val="pl-PL"/>
        </w:rPr>
        <w:t xml:space="preserve"> </w:t>
      </w:r>
      <w:r w:rsidRPr="00977945">
        <w:rPr>
          <w:lang w:val="pl-PL"/>
        </w:rPr>
        <w:t>inne, §</w:t>
      </w:r>
      <w:r w:rsidR="000F46C5">
        <w:rPr>
          <w:lang w:val="pl-PL"/>
        </w:rPr>
        <w:t xml:space="preserve"> </w:t>
      </w:r>
      <w:r w:rsidRPr="00977945">
        <w:rPr>
          <w:lang w:val="pl-PL"/>
        </w:rPr>
        <w:t>244, 4</w:t>
      </w:r>
      <w:r w:rsidR="000F46C5">
        <w:rPr>
          <w:lang w:val="pl-PL"/>
        </w:rPr>
        <w:t xml:space="preserve"> </w:t>
      </w:r>
      <w:r w:rsidRPr="00977945">
        <w:rPr>
          <w:lang w:val="pl-PL"/>
        </w:rPr>
        <w:t>marca 2014 r.),</w:t>
      </w:r>
      <w:r>
        <w:rPr>
          <w:lang w:val="pl-PL"/>
        </w:rPr>
        <w:t xml:space="preserve"> </w:t>
      </w:r>
      <w:r w:rsidRPr="00977945">
        <w:rPr>
          <w:lang w:val="pl-PL"/>
        </w:rPr>
        <w:t>Trybunał uznaje za uzasadnione zasądzić kwotę 470 EUR na pokrycie kosztów wszelkiego rodzaju.</w:t>
      </w:r>
    </w:p>
    <w:p w14:paraId="2D93A692" w14:textId="77777777" w:rsidR="009E53C0" w:rsidRPr="00977945" w:rsidRDefault="009E53C0" w:rsidP="000D30FE">
      <w:pPr>
        <w:pStyle w:val="ECHRHeading2"/>
        <w:rPr>
          <w:lang w:val="pl-PL"/>
        </w:rPr>
      </w:pPr>
      <w:r w:rsidRPr="00977945">
        <w:rPr>
          <w:lang w:val="pl-PL"/>
        </w:rPr>
        <w:t>C. Odsetki za zwłokę</w:t>
      </w:r>
    </w:p>
    <w:p w14:paraId="146A0343" w14:textId="3E8E1D49" w:rsidR="009E53C0" w:rsidRPr="00977945" w:rsidRDefault="009E53C0" w:rsidP="000D30FE">
      <w:pPr>
        <w:pStyle w:val="ECHRPara"/>
        <w:rPr>
          <w:lang w:val="pl-PL"/>
        </w:rPr>
      </w:pPr>
      <w:r w:rsidRPr="00977945">
        <w:rPr>
          <w:lang w:val="pl-PL"/>
        </w:rPr>
        <w:t>152.</w:t>
      </w:r>
      <w:r>
        <w:rPr>
          <w:lang w:val="pl-PL"/>
        </w:rPr>
        <w:t xml:space="preserve"> </w:t>
      </w:r>
      <w:r w:rsidRPr="00977945">
        <w:rPr>
          <w:lang w:val="pl-PL"/>
        </w:rPr>
        <w:t>Trybunał za słuszne uznaje wyznaczenie wysokości odsetek za</w:t>
      </w:r>
      <w:r w:rsidR="001F5A65">
        <w:rPr>
          <w:lang w:val="pl-PL"/>
        </w:rPr>
        <w:t> </w:t>
      </w:r>
      <w:r w:rsidRPr="00977945">
        <w:rPr>
          <w:lang w:val="pl-PL"/>
        </w:rPr>
        <w:t>zwłokę na podstawie marginalnej stopy procentowej Europejskiego Banku Centralnego powiększonej o trzy punkty procentowe.</w:t>
      </w:r>
    </w:p>
    <w:p w14:paraId="420BDB1C" w14:textId="77777777" w:rsidR="009E53C0" w:rsidRPr="00977945" w:rsidRDefault="009E53C0" w:rsidP="000D30FE">
      <w:pPr>
        <w:pStyle w:val="ECHRTitle1"/>
        <w:rPr>
          <w:lang w:val="pl-PL"/>
        </w:rPr>
      </w:pPr>
      <w:r w:rsidRPr="00977945">
        <w:rPr>
          <w:lang w:val="pl-PL"/>
        </w:rPr>
        <w:t>Z POWYŻSZYCH WZGLĘDÓW TRYBUNAŁ JEDNOGŁOŚNIE</w:t>
      </w:r>
    </w:p>
    <w:p w14:paraId="5BE19CBC" w14:textId="77777777" w:rsidR="009E53C0" w:rsidRPr="00977945" w:rsidRDefault="009E53C0" w:rsidP="000D30FE">
      <w:pPr>
        <w:pStyle w:val="JuList"/>
        <w:ind w:left="0" w:firstLine="0"/>
        <w:rPr>
          <w:lang w:val="pl-PL"/>
        </w:rPr>
      </w:pPr>
      <w:r w:rsidRPr="00977945">
        <w:rPr>
          <w:lang w:val="pl-PL"/>
        </w:rPr>
        <w:t>1.</w:t>
      </w:r>
      <w:r>
        <w:rPr>
          <w:lang w:val="pl-PL"/>
        </w:rPr>
        <w:t xml:space="preserve"> </w:t>
      </w:r>
      <w:r w:rsidRPr="00977945">
        <w:rPr>
          <w:i/>
          <w:iCs/>
          <w:lang w:val="pl-PL"/>
        </w:rPr>
        <w:t>Uznaje</w:t>
      </w:r>
      <w:r w:rsidRPr="00977945">
        <w:rPr>
          <w:color w:val="000000"/>
          <w:lang w:val="pl-PL"/>
        </w:rPr>
        <w:t xml:space="preserve"> </w:t>
      </w:r>
      <w:r w:rsidRPr="00977945">
        <w:rPr>
          <w:lang w:val="pl-PL"/>
        </w:rPr>
        <w:t>skargę za dopuszczalną;</w:t>
      </w:r>
    </w:p>
    <w:p w14:paraId="7946B0C9" w14:textId="77777777" w:rsidR="009E53C0" w:rsidRPr="00977945" w:rsidRDefault="009E53C0" w:rsidP="000D30FE">
      <w:pPr>
        <w:pStyle w:val="JuList"/>
        <w:ind w:left="0" w:firstLine="0"/>
        <w:rPr>
          <w:lang w:val="pl-PL"/>
        </w:rPr>
      </w:pPr>
    </w:p>
    <w:p w14:paraId="27F8FCB7" w14:textId="438F4543" w:rsidR="009E53C0" w:rsidRPr="00977945" w:rsidRDefault="009E53C0" w:rsidP="000D30FE">
      <w:pPr>
        <w:pStyle w:val="JuList"/>
        <w:rPr>
          <w:lang w:val="pl-PL"/>
        </w:rPr>
      </w:pPr>
      <w:r w:rsidRPr="00977945">
        <w:rPr>
          <w:lang w:val="pl-PL"/>
        </w:rPr>
        <w:t>2.</w:t>
      </w:r>
      <w:r>
        <w:rPr>
          <w:lang w:val="pl-PL"/>
        </w:rPr>
        <w:t xml:space="preserve"> </w:t>
      </w:r>
      <w:r w:rsidRPr="00977945">
        <w:rPr>
          <w:i/>
          <w:iCs/>
          <w:lang w:val="pl-PL"/>
        </w:rPr>
        <w:t>Orzeka,</w:t>
      </w:r>
      <w:r w:rsidRPr="00977945">
        <w:rPr>
          <w:color w:val="000000"/>
          <w:lang w:val="pl-PL"/>
        </w:rPr>
        <w:t xml:space="preserve"> </w:t>
      </w:r>
      <w:r w:rsidRPr="00977945">
        <w:rPr>
          <w:lang w:val="pl-PL"/>
        </w:rPr>
        <w:t>że doszło do naruszenia art.</w:t>
      </w:r>
      <w:r w:rsidR="000F46C5">
        <w:rPr>
          <w:lang w:val="pl-PL"/>
        </w:rPr>
        <w:t xml:space="preserve"> </w:t>
      </w:r>
      <w:r w:rsidRPr="00977945">
        <w:rPr>
          <w:lang w:val="pl-PL"/>
        </w:rPr>
        <w:t>4 Protokołu nr 7 do Konwencji;</w:t>
      </w:r>
    </w:p>
    <w:p w14:paraId="1603CF53" w14:textId="77777777" w:rsidR="009E53C0" w:rsidRPr="00977945" w:rsidRDefault="009E53C0" w:rsidP="000D30FE">
      <w:pPr>
        <w:pStyle w:val="JuList"/>
        <w:rPr>
          <w:lang w:val="pl-PL"/>
        </w:rPr>
      </w:pPr>
    </w:p>
    <w:p w14:paraId="2B356AA3" w14:textId="77777777" w:rsidR="009E53C0" w:rsidRPr="00977945" w:rsidRDefault="009E53C0" w:rsidP="000D30FE">
      <w:pPr>
        <w:pStyle w:val="JuList"/>
        <w:rPr>
          <w:lang w:val="pl-PL"/>
        </w:rPr>
      </w:pPr>
      <w:r w:rsidRPr="00977945">
        <w:rPr>
          <w:lang w:val="pl-PL"/>
        </w:rPr>
        <w:t>3.</w:t>
      </w:r>
      <w:r>
        <w:rPr>
          <w:lang w:val="pl-PL"/>
        </w:rPr>
        <w:t xml:space="preserve"> </w:t>
      </w:r>
      <w:r w:rsidRPr="00977945">
        <w:rPr>
          <w:i/>
          <w:iCs/>
          <w:lang w:val="pl-PL"/>
        </w:rPr>
        <w:t>Orzeka</w:t>
      </w:r>
    </w:p>
    <w:p w14:paraId="3B48ADA1" w14:textId="6A60EE48" w:rsidR="009E53C0" w:rsidRPr="00977945" w:rsidRDefault="009E53C0" w:rsidP="000D30FE">
      <w:pPr>
        <w:pStyle w:val="JuLista"/>
        <w:rPr>
          <w:lang w:val="pl-PL"/>
        </w:rPr>
      </w:pPr>
      <w:r w:rsidRPr="00977945">
        <w:rPr>
          <w:lang w:val="pl-PL"/>
        </w:rPr>
        <w:t>a)</w:t>
      </w:r>
      <w:r w:rsidR="000F46C5">
        <w:rPr>
          <w:lang w:val="pl-PL"/>
        </w:rPr>
        <w:t xml:space="preserve"> </w:t>
      </w:r>
      <w:r w:rsidRPr="00977945">
        <w:rPr>
          <w:lang w:val="pl-PL"/>
        </w:rPr>
        <w:t>że pozwane państwo winno, w terminie trzech miesięcy, uiścić na rzecz skarżącego następujące kwoty, przeliczone na walutę pozwanego państwa według kursu obowiązującego w dniu płatności:</w:t>
      </w:r>
    </w:p>
    <w:p w14:paraId="6E39DF17" w14:textId="2714954F" w:rsidR="009E53C0" w:rsidRPr="00977945" w:rsidRDefault="009E53C0" w:rsidP="000D30FE">
      <w:pPr>
        <w:pStyle w:val="JuListi"/>
        <w:rPr>
          <w:lang w:val="pl-PL"/>
        </w:rPr>
      </w:pPr>
      <w:r w:rsidRPr="00977945">
        <w:rPr>
          <w:lang w:val="pl-PL"/>
        </w:rPr>
        <w:t>(i)</w:t>
      </w:r>
      <w:r w:rsidR="000F46C5">
        <w:rPr>
          <w:lang w:val="pl-PL"/>
        </w:rPr>
        <w:t xml:space="preserve"> </w:t>
      </w:r>
      <w:r>
        <w:rPr>
          <w:lang w:val="pl-PL"/>
        </w:rPr>
        <w:t>5</w:t>
      </w:r>
      <w:r w:rsidRPr="00977945">
        <w:rPr>
          <w:lang w:val="pl-PL"/>
        </w:rPr>
        <w:t>000 EUR (</w:t>
      </w:r>
      <w:r>
        <w:rPr>
          <w:lang w:val="pl-PL"/>
        </w:rPr>
        <w:t>pięć</w:t>
      </w:r>
      <w:r w:rsidRPr="00977945">
        <w:rPr>
          <w:lang w:val="pl-PL"/>
        </w:rPr>
        <w:t xml:space="preserve"> tysi</w:t>
      </w:r>
      <w:r>
        <w:rPr>
          <w:lang w:val="pl-PL"/>
        </w:rPr>
        <w:t>ęcy</w:t>
      </w:r>
      <w:r w:rsidRPr="00977945">
        <w:rPr>
          <w:lang w:val="pl-PL"/>
        </w:rPr>
        <w:t xml:space="preserve"> euro), plus wszelkie należne podatki, tytułem zadośćuczynienia za szkodę majątkową i</w:t>
      </w:r>
      <w:r w:rsidR="000F46C5">
        <w:rPr>
          <w:lang w:val="pl-PL"/>
        </w:rPr>
        <w:t xml:space="preserve"> </w:t>
      </w:r>
      <w:r w:rsidRPr="00977945">
        <w:rPr>
          <w:lang w:val="pl-PL"/>
        </w:rPr>
        <w:t>niemajątkową;</w:t>
      </w:r>
    </w:p>
    <w:p w14:paraId="3D305AE2" w14:textId="23F14B88" w:rsidR="009E53C0" w:rsidRPr="00977945" w:rsidRDefault="009E53C0" w:rsidP="000D30FE">
      <w:pPr>
        <w:pStyle w:val="JuListi"/>
        <w:rPr>
          <w:lang w:val="pl-PL"/>
        </w:rPr>
      </w:pPr>
      <w:r w:rsidRPr="00977945">
        <w:rPr>
          <w:lang w:val="pl-PL"/>
        </w:rPr>
        <w:t>(ii)</w:t>
      </w:r>
      <w:r w:rsidR="000F46C5">
        <w:rPr>
          <w:lang w:val="pl-PL"/>
        </w:rPr>
        <w:t xml:space="preserve"> </w:t>
      </w:r>
      <w:r w:rsidRPr="00977945">
        <w:rPr>
          <w:lang w:val="pl-PL"/>
        </w:rPr>
        <w:t>470</w:t>
      </w:r>
      <w:r w:rsidR="000F46C5">
        <w:rPr>
          <w:lang w:val="pl-PL"/>
        </w:rPr>
        <w:t xml:space="preserve"> </w:t>
      </w:r>
      <w:r w:rsidRPr="00977945">
        <w:rPr>
          <w:lang w:val="pl-PL"/>
        </w:rPr>
        <w:t>EUR (czterysta siedemdziesiąt euro), plus wszelkie należne od skarżącego podatki, tytułem poniesionych kosztów i wydatków;</w:t>
      </w:r>
    </w:p>
    <w:p w14:paraId="031B6EBD" w14:textId="499F41D1" w:rsidR="009E53C0" w:rsidRPr="00977945" w:rsidRDefault="009E53C0" w:rsidP="000D30FE">
      <w:pPr>
        <w:pStyle w:val="JuLista"/>
        <w:rPr>
          <w:lang w:val="pl-PL"/>
        </w:rPr>
      </w:pPr>
      <w:r w:rsidRPr="00977945">
        <w:rPr>
          <w:lang w:val="pl-PL"/>
        </w:rPr>
        <w:t>b)</w:t>
      </w:r>
      <w:r w:rsidR="000F46C5">
        <w:rPr>
          <w:lang w:val="pl-PL"/>
        </w:rPr>
        <w:t xml:space="preserve"> </w:t>
      </w:r>
      <w:r w:rsidRPr="00977945">
        <w:rPr>
          <w:lang w:val="pl-PL"/>
        </w:rPr>
        <w:t>że od upływu wyżej wskazanego terminu trzech miesięcy aż</w:t>
      </w:r>
      <w:r w:rsidR="001F5A65">
        <w:rPr>
          <w:lang w:val="pl-PL"/>
        </w:rPr>
        <w:t> </w:t>
      </w:r>
      <w:r w:rsidRPr="00977945">
        <w:rPr>
          <w:lang w:val="pl-PL"/>
        </w:rPr>
        <w:t>do</w:t>
      </w:r>
      <w:r w:rsidR="001F5A65">
        <w:rPr>
          <w:lang w:val="pl-PL"/>
        </w:rPr>
        <w:t> </w:t>
      </w:r>
      <w:r w:rsidRPr="00977945">
        <w:rPr>
          <w:lang w:val="pl-PL"/>
        </w:rPr>
        <w:t>momentu uregulowania należności,</w:t>
      </w:r>
      <w:r w:rsidR="00311248">
        <w:rPr>
          <w:lang w:val="pl-PL"/>
        </w:rPr>
        <w:t xml:space="preserve"> płatne</w:t>
      </w:r>
      <w:r w:rsidRPr="00977945">
        <w:rPr>
          <w:lang w:val="pl-PL"/>
        </w:rPr>
        <w:t xml:space="preserve"> będą odsetki zwykłe od</w:t>
      </w:r>
      <w:r w:rsidR="001F5A65">
        <w:rPr>
          <w:lang w:val="pl-PL"/>
        </w:rPr>
        <w:t> </w:t>
      </w:r>
      <w:r w:rsidRPr="00977945">
        <w:rPr>
          <w:lang w:val="pl-PL"/>
        </w:rPr>
        <w:t>określonych powyżej kwot, naliczone według stopy równej marginalnej stopie procentowej Europejskiego Banku Centralnego obowiązującej w</w:t>
      </w:r>
      <w:r w:rsidR="001F5A65">
        <w:rPr>
          <w:lang w:val="pl-PL"/>
        </w:rPr>
        <w:t> </w:t>
      </w:r>
      <w:r w:rsidRPr="00977945">
        <w:rPr>
          <w:lang w:val="pl-PL"/>
        </w:rPr>
        <w:t>tym okresie, powiększonej o trzy punkty procentowe;</w:t>
      </w:r>
    </w:p>
    <w:p w14:paraId="4E740BF2" w14:textId="77777777" w:rsidR="009E53C0" w:rsidRPr="00977945" w:rsidRDefault="009E53C0" w:rsidP="000D30FE">
      <w:pPr>
        <w:pStyle w:val="JuList"/>
        <w:rPr>
          <w:lang w:val="pl-PL"/>
        </w:rPr>
      </w:pPr>
    </w:p>
    <w:p w14:paraId="54FB211A" w14:textId="77777777" w:rsidR="009E53C0" w:rsidRPr="00977945" w:rsidRDefault="009E53C0" w:rsidP="000D30FE">
      <w:pPr>
        <w:pStyle w:val="JuList"/>
        <w:rPr>
          <w:lang w:val="pl-PL"/>
        </w:rPr>
      </w:pPr>
      <w:r w:rsidRPr="00977945">
        <w:rPr>
          <w:lang w:val="pl-PL"/>
        </w:rPr>
        <w:t>4.</w:t>
      </w:r>
      <w:r>
        <w:rPr>
          <w:lang w:val="pl-PL"/>
        </w:rPr>
        <w:t xml:space="preserve"> </w:t>
      </w:r>
      <w:r w:rsidRPr="00977945">
        <w:rPr>
          <w:i/>
          <w:iCs/>
          <w:lang w:val="pl-PL"/>
        </w:rPr>
        <w:t>Oddala</w:t>
      </w:r>
      <w:r w:rsidRPr="00977945">
        <w:rPr>
          <w:lang w:val="pl-PL"/>
        </w:rPr>
        <w:t xml:space="preserve"> jednogłośnie</w:t>
      </w:r>
      <w:r w:rsidRPr="00977945">
        <w:rPr>
          <w:color w:val="000000"/>
          <w:lang w:val="pl-PL"/>
        </w:rPr>
        <w:t xml:space="preserve"> </w:t>
      </w:r>
      <w:r w:rsidRPr="00977945">
        <w:rPr>
          <w:lang w:val="pl-PL"/>
        </w:rPr>
        <w:t>pozostałą część roszczenia skarżącego dotyczącego słusznego zadośćuczynienia.</w:t>
      </w:r>
    </w:p>
    <w:p w14:paraId="4131B94A" w14:textId="7DACC2EB" w:rsidR="009E53C0" w:rsidRPr="00977945" w:rsidRDefault="009E53C0" w:rsidP="000D30FE">
      <w:pPr>
        <w:pStyle w:val="JuParaLast"/>
        <w:rPr>
          <w:lang w:val="pl-PL"/>
        </w:rPr>
      </w:pPr>
      <w:r w:rsidRPr="00977945">
        <w:rPr>
          <w:lang w:val="pl-PL"/>
        </w:rPr>
        <w:t>Sporządzono w języku angielskim i francuskim i podano do wiadomości na rozprawie publicznej w Budynku Praw Człowieka w Strasburgu w</w:t>
      </w:r>
      <w:r w:rsidR="000F46C5">
        <w:rPr>
          <w:lang w:val="pl-PL"/>
        </w:rPr>
        <w:t xml:space="preserve"> </w:t>
      </w:r>
      <w:r w:rsidRPr="00977945">
        <w:rPr>
          <w:lang w:val="pl-PL"/>
        </w:rPr>
        <w:t>dniu</w:t>
      </w:r>
      <w:r w:rsidR="000F46C5">
        <w:rPr>
          <w:lang w:val="pl-PL"/>
        </w:rPr>
        <w:t xml:space="preserve"> </w:t>
      </w:r>
      <w:r w:rsidRPr="00977945">
        <w:rPr>
          <w:lang w:val="pl-PL"/>
        </w:rPr>
        <w:t>8</w:t>
      </w:r>
      <w:r w:rsidR="001F5A65">
        <w:rPr>
          <w:lang w:val="pl-PL"/>
        </w:rPr>
        <w:t> </w:t>
      </w:r>
      <w:r w:rsidRPr="00977945">
        <w:rPr>
          <w:lang w:val="pl-PL"/>
        </w:rPr>
        <w:t>lipca</w:t>
      </w:r>
      <w:r w:rsidR="000F46C5">
        <w:rPr>
          <w:lang w:val="pl-PL"/>
        </w:rPr>
        <w:t xml:space="preserve"> </w:t>
      </w:r>
      <w:r w:rsidRPr="00977945">
        <w:rPr>
          <w:lang w:val="pl-PL"/>
        </w:rPr>
        <w:t>2019</w:t>
      </w:r>
      <w:r w:rsidR="000F46C5">
        <w:rPr>
          <w:lang w:val="pl-PL"/>
        </w:rPr>
        <w:t xml:space="preserve"> </w:t>
      </w:r>
      <w:r w:rsidRPr="00977945">
        <w:rPr>
          <w:lang w:val="pl-PL"/>
        </w:rPr>
        <w:t>r.</w:t>
      </w:r>
    </w:p>
    <w:p w14:paraId="2B9E135E" w14:textId="77777777" w:rsidR="009E53C0" w:rsidRPr="00977945" w:rsidRDefault="009E53C0" w:rsidP="000D30FE">
      <w:pPr>
        <w:pStyle w:val="JuSigned"/>
        <w:rPr>
          <w:lang w:val="pl-PL"/>
        </w:rPr>
      </w:pPr>
      <w:r w:rsidRPr="00977945">
        <w:rPr>
          <w:lang w:val="pl-PL"/>
        </w:rPr>
        <w:t>Søren Prebensen</w:t>
      </w:r>
      <w:r w:rsidRPr="00977945">
        <w:rPr>
          <w:lang w:val="pl-PL"/>
        </w:rPr>
        <w:tab/>
        <w:t>Guido Raimondi</w:t>
      </w:r>
      <w:r w:rsidRPr="00977945">
        <w:rPr>
          <w:lang w:val="pl-PL"/>
        </w:rPr>
        <w:br/>
      </w:r>
      <w:r w:rsidRPr="00977945">
        <w:rPr>
          <w:lang w:val="pl-PL"/>
        </w:rPr>
        <w:tab/>
        <w:t>Zastępca Kanclerza</w:t>
      </w:r>
      <w:r w:rsidRPr="00977945">
        <w:rPr>
          <w:lang w:val="pl-PL"/>
        </w:rPr>
        <w:tab/>
        <w:t>Przewodniczący</w:t>
      </w:r>
    </w:p>
    <w:p w14:paraId="6A59BB90" w14:textId="718B4AB0" w:rsidR="009E53C0" w:rsidRPr="00977945" w:rsidRDefault="009E53C0" w:rsidP="000D30FE">
      <w:pPr>
        <w:pStyle w:val="JuParaLast"/>
        <w:spacing w:before="480"/>
        <w:rPr>
          <w:lang w:val="pl-PL"/>
        </w:rPr>
      </w:pPr>
      <w:r w:rsidRPr="00977945">
        <w:rPr>
          <w:lang w:val="pl-PL"/>
        </w:rPr>
        <w:t>Zgodnie z art.</w:t>
      </w:r>
      <w:r w:rsidR="000F46C5">
        <w:rPr>
          <w:lang w:val="pl-PL"/>
        </w:rPr>
        <w:t xml:space="preserve"> </w:t>
      </w:r>
      <w:r w:rsidRPr="00977945">
        <w:rPr>
          <w:lang w:val="pl-PL"/>
        </w:rPr>
        <w:t>45 ust.</w:t>
      </w:r>
      <w:r w:rsidR="000F46C5">
        <w:rPr>
          <w:lang w:val="pl-PL"/>
        </w:rPr>
        <w:t xml:space="preserve"> </w:t>
      </w:r>
      <w:r w:rsidRPr="00977945">
        <w:rPr>
          <w:lang w:val="pl-PL"/>
        </w:rPr>
        <w:t xml:space="preserve">2 Konwencji i </w:t>
      </w:r>
      <w:r w:rsidR="00311248" w:rsidRPr="00977945">
        <w:rPr>
          <w:lang w:val="pl-PL"/>
        </w:rPr>
        <w:t>Regułą</w:t>
      </w:r>
      <w:r w:rsidR="00311248">
        <w:rPr>
          <w:lang w:val="pl-PL"/>
        </w:rPr>
        <w:t xml:space="preserve"> </w:t>
      </w:r>
      <w:r w:rsidRPr="00977945">
        <w:rPr>
          <w:lang w:val="pl-PL"/>
        </w:rPr>
        <w:t>74 §</w:t>
      </w:r>
      <w:r w:rsidR="000F46C5">
        <w:rPr>
          <w:lang w:val="pl-PL"/>
        </w:rPr>
        <w:t xml:space="preserve"> </w:t>
      </w:r>
      <w:r w:rsidRPr="00977945">
        <w:rPr>
          <w:lang w:val="pl-PL"/>
        </w:rPr>
        <w:t>2 Regulaminu Trybunału do wyroku dołączono następujące opinie odrębne:</w:t>
      </w:r>
    </w:p>
    <w:p w14:paraId="0F7D68EB" w14:textId="77777777" w:rsidR="009E53C0" w:rsidRPr="00977945" w:rsidRDefault="009E53C0" w:rsidP="000D30FE">
      <w:pPr>
        <w:pStyle w:val="ECHRPara"/>
        <w:rPr>
          <w:lang w:val="pl-PL"/>
        </w:rPr>
      </w:pPr>
      <w:r w:rsidRPr="00977945">
        <w:rPr>
          <w:lang w:val="pl-PL"/>
        </w:rPr>
        <w:t>a)</w:t>
      </w:r>
      <w:r>
        <w:rPr>
          <w:lang w:val="pl-PL"/>
        </w:rPr>
        <w:t xml:space="preserve"> </w:t>
      </w:r>
      <w:r w:rsidRPr="00977945">
        <w:rPr>
          <w:lang w:val="pl-PL"/>
        </w:rPr>
        <w:t>wspólna zgodna opinia sędziów: Raimondi, Nussberger, Sicilianos, Spano, Yudkivska, Motoc i Ravarani;</w:t>
      </w:r>
    </w:p>
    <w:p w14:paraId="592EBE89" w14:textId="77777777" w:rsidR="009E53C0" w:rsidRPr="00977945" w:rsidRDefault="009E53C0" w:rsidP="000D30FE">
      <w:pPr>
        <w:pStyle w:val="ECHRPara"/>
        <w:rPr>
          <w:lang w:val="pl-PL"/>
        </w:rPr>
      </w:pPr>
      <w:r w:rsidRPr="00977945">
        <w:rPr>
          <w:lang w:val="pl-PL"/>
        </w:rPr>
        <w:t>b)</w:t>
      </w:r>
      <w:r>
        <w:rPr>
          <w:lang w:val="pl-PL"/>
        </w:rPr>
        <w:t xml:space="preserve"> </w:t>
      </w:r>
      <w:r w:rsidRPr="00977945">
        <w:rPr>
          <w:lang w:val="pl-PL"/>
        </w:rPr>
        <w:t>zgodna opinia sędziego Pinto de Albuquerque;</w:t>
      </w:r>
    </w:p>
    <w:p w14:paraId="71506C54" w14:textId="77777777" w:rsidR="009E53C0" w:rsidRPr="00977945" w:rsidRDefault="009E53C0" w:rsidP="000D30FE">
      <w:pPr>
        <w:pStyle w:val="ECHRPara"/>
        <w:rPr>
          <w:lang w:val="pl-PL"/>
        </w:rPr>
      </w:pPr>
      <w:r w:rsidRPr="00977945">
        <w:rPr>
          <w:lang w:val="pl-PL"/>
        </w:rPr>
        <w:t>c) zgodna opinia sędziego Serghidesa;</w:t>
      </w:r>
    </w:p>
    <w:p w14:paraId="3558B532" w14:textId="77777777" w:rsidR="009E53C0" w:rsidRPr="00977945" w:rsidRDefault="009E53C0" w:rsidP="000D30FE">
      <w:pPr>
        <w:pStyle w:val="ECHRPara"/>
        <w:rPr>
          <w:lang w:val="pl-PL"/>
        </w:rPr>
      </w:pPr>
      <w:r w:rsidRPr="00977945">
        <w:rPr>
          <w:lang w:val="pl-PL"/>
        </w:rPr>
        <w:t>d)</w:t>
      </w:r>
      <w:r>
        <w:rPr>
          <w:lang w:val="pl-PL"/>
        </w:rPr>
        <w:t xml:space="preserve"> </w:t>
      </w:r>
      <w:r w:rsidRPr="00977945">
        <w:rPr>
          <w:lang w:val="pl-PL"/>
        </w:rPr>
        <w:t>zgodna opinia sędziego Bošnjaka, do której przyłączył się sędzia Serghides.</w:t>
      </w:r>
    </w:p>
    <w:p w14:paraId="272C218C" w14:textId="77777777" w:rsidR="009E53C0" w:rsidRPr="00977945" w:rsidRDefault="009E53C0" w:rsidP="000D30FE">
      <w:pPr>
        <w:pStyle w:val="JuInitialled"/>
        <w:rPr>
          <w:lang w:val="pl-PL"/>
        </w:rPr>
      </w:pPr>
      <w:r w:rsidRPr="00977945">
        <w:rPr>
          <w:lang w:val="pl-PL"/>
        </w:rPr>
        <w:t>G.R.</w:t>
      </w:r>
      <w:r w:rsidRPr="00977945">
        <w:rPr>
          <w:lang w:val="pl-PL"/>
        </w:rPr>
        <w:br/>
        <w:t>S.C.P.</w:t>
      </w:r>
    </w:p>
    <w:p w14:paraId="630FBE4A" w14:textId="77777777" w:rsidR="009E53C0" w:rsidRPr="00977945" w:rsidRDefault="009E53C0" w:rsidP="000D30FE">
      <w:pPr>
        <w:pStyle w:val="JuInitialled"/>
        <w:rPr>
          <w:lang w:val="pl-PL"/>
        </w:rPr>
      </w:pPr>
    </w:p>
    <w:p w14:paraId="6E041331" w14:textId="77777777" w:rsidR="009E53C0" w:rsidRPr="00977945" w:rsidRDefault="009E53C0" w:rsidP="000D30FE">
      <w:pPr>
        <w:jc w:val="left"/>
        <w:rPr>
          <w:lang w:val="pl-PL"/>
        </w:rPr>
        <w:sectPr w:rsidR="009E53C0" w:rsidRPr="00977945">
          <w:headerReference w:type="even" r:id="rId13"/>
          <w:headerReference w:type="default" r:id="rId14"/>
          <w:footerReference w:type="default" r:id="rId15"/>
          <w:pgSz w:w="11906" w:h="16838" w:code="9"/>
          <w:pgMar w:top="2274" w:right="2274" w:bottom="2274" w:left="2274" w:header="1701" w:footer="708" w:gutter="0"/>
          <w:pgNumType w:start="1"/>
          <w:cols w:space="708"/>
        </w:sectPr>
      </w:pPr>
    </w:p>
    <w:p w14:paraId="2D6137BD" w14:textId="77777777" w:rsidR="009E53C0" w:rsidRPr="00977945" w:rsidRDefault="009E53C0" w:rsidP="00D164D5">
      <w:pPr>
        <w:pStyle w:val="ECHRTitleCentre1"/>
        <w:keepNext w:val="0"/>
        <w:keepLines w:val="0"/>
        <w:rPr>
          <w:lang w:val="pl-PL"/>
        </w:rPr>
      </w:pPr>
      <w:r w:rsidRPr="00977945">
        <w:rPr>
          <w:lang w:val="pl-PL"/>
        </w:rPr>
        <w:lastRenderedPageBreak/>
        <w:t>WSPÓLNA ZGODNA OPINIA SĘDZIÓW: RAIMONDI, NUSSBERGER, SICILIANOS, SPANO, YUDKIVSKA, MOTOC I RAVARANI</w:t>
      </w:r>
    </w:p>
    <w:p w14:paraId="05A407BC" w14:textId="77777777" w:rsidR="009E53C0" w:rsidRPr="00977945" w:rsidRDefault="009E53C0" w:rsidP="00D164D5">
      <w:pPr>
        <w:pStyle w:val="OpiPara"/>
        <w:jc w:val="center"/>
        <w:rPr>
          <w:i/>
          <w:iCs/>
          <w:lang w:val="pl-PL"/>
        </w:rPr>
      </w:pPr>
      <w:r w:rsidRPr="00977945">
        <w:rPr>
          <w:i/>
          <w:iCs/>
          <w:lang w:val="pl-PL"/>
        </w:rPr>
        <w:t>[pominięto]</w:t>
      </w:r>
    </w:p>
    <w:p w14:paraId="1A12ACC4" w14:textId="77777777" w:rsidR="00D164D5" w:rsidRDefault="00D164D5" w:rsidP="00D164D5">
      <w:pPr>
        <w:pStyle w:val="ECHRTitleCentre1"/>
        <w:keepNext w:val="0"/>
        <w:keepLines w:val="0"/>
        <w:rPr>
          <w:lang w:val="pl-PL"/>
        </w:rPr>
      </w:pPr>
    </w:p>
    <w:p w14:paraId="328BE5AF" w14:textId="77777777" w:rsidR="00D164D5" w:rsidRDefault="00D164D5" w:rsidP="00D164D5">
      <w:pPr>
        <w:pStyle w:val="ECHRTitleCentre1"/>
        <w:keepNext w:val="0"/>
        <w:keepLines w:val="0"/>
        <w:rPr>
          <w:lang w:val="pl-PL"/>
        </w:rPr>
      </w:pPr>
    </w:p>
    <w:p w14:paraId="408E0E26" w14:textId="77777777" w:rsidR="00D164D5" w:rsidRDefault="00D164D5" w:rsidP="00D164D5">
      <w:pPr>
        <w:pStyle w:val="ECHRTitleCentre1"/>
        <w:keepNext w:val="0"/>
        <w:keepLines w:val="0"/>
        <w:rPr>
          <w:lang w:val="pl-PL"/>
        </w:rPr>
      </w:pPr>
    </w:p>
    <w:p w14:paraId="48C1AEBC" w14:textId="177E9F4C" w:rsidR="009E53C0" w:rsidRPr="00977945" w:rsidRDefault="009E53C0" w:rsidP="00D164D5">
      <w:pPr>
        <w:pStyle w:val="ECHRTitleCentre1"/>
        <w:keepNext w:val="0"/>
        <w:keepLines w:val="0"/>
        <w:rPr>
          <w:lang w:val="pl-PL"/>
        </w:rPr>
      </w:pPr>
      <w:r w:rsidRPr="00977945">
        <w:rPr>
          <w:lang w:val="pl-PL"/>
        </w:rPr>
        <w:t>ZGODNA OPINIA ODRĘBNA SĘDZIEGO PINTO</w:t>
      </w:r>
      <w:r w:rsidR="00AE4551">
        <w:rPr>
          <w:lang w:val="pl-PL"/>
        </w:rPr>
        <w:t> </w:t>
      </w:r>
      <w:r w:rsidRPr="00977945">
        <w:rPr>
          <w:lang w:val="pl-PL"/>
        </w:rPr>
        <w:t>DE</w:t>
      </w:r>
      <w:r w:rsidR="00AE4551">
        <w:rPr>
          <w:lang w:val="pl-PL"/>
        </w:rPr>
        <w:t> </w:t>
      </w:r>
      <w:r w:rsidRPr="00977945">
        <w:rPr>
          <w:lang w:val="pl-PL"/>
        </w:rPr>
        <w:t>ALBUQUERQUE</w:t>
      </w:r>
    </w:p>
    <w:p w14:paraId="7CD86534" w14:textId="77777777" w:rsidR="009E53C0" w:rsidRPr="00977945" w:rsidRDefault="009E53C0" w:rsidP="00D164D5">
      <w:pPr>
        <w:pStyle w:val="OpiPara"/>
        <w:jc w:val="center"/>
        <w:rPr>
          <w:i/>
          <w:iCs/>
          <w:lang w:val="pl-PL"/>
        </w:rPr>
      </w:pPr>
      <w:r w:rsidRPr="00977945">
        <w:rPr>
          <w:i/>
          <w:iCs/>
          <w:lang w:val="pl-PL"/>
        </w:rPr>
        <w:t>[pominięto]</w:t>
      </w:r>
    </w:p>
    <w:p w14:paraId="4140EEC6" w14:textId="77777777" w:rsidR="00D164D5" w:rsidRDefault="00D164D5" w:rsidP="00D164D5">
      <w:pPr>
        <w:pStyle w:val="ECHRTitleCentre1"/>
        <w:keepNext w:val="0"/>
        <w:keepLines w:val="0"/>
        <w:rPr>
          <w:lang w:val="pl-PL"/>
        </w:rPr>
      </w:pPr>
    </w:p>
    <w:p w14:paraId="7314E703" w14:textId="77777777" w:rsidR="00D164D5" w:rsidRDefault="00D164D5" w:rsidP="00D164D5">
      <w:pPr>
        <w:pStyle w:val="ECHRTitleCentre1"/>
        <w:keepNext w:val="0"/>
        <w:keepLines w:val="0"/>
        <w:rPr>
          <w:lang w:val="pl-PL"/>
        </w:rPr>
      </w:pPr>
    </w:p>
    <w:p w14:paraId="03EF4A11" w14:textId="77777777" w:rsidR="00D164D5" w:rsidRDefault="00D164D5" w:rsidP="00D164D5">
      <w:pPr>
        <w:pStyle w:val="ECHRTitleCentre1"/>
        <w:keepNext w:val="0"/>
        <w:keepLines w:val="0"/>
        <w:rPr>
          <w:lang w:val="pl-PL"/>
        </w:rPr>
      </w:pPr>
    </w:p>
    <w:p w14:paraId="33DA4112" w14:textId="77777777" w:rsidR="009E53C0" w:rsidRPr="00977945" w:rsidRDefault="009E53C0" w:rsidP="00D164D5">
      <w:pPr>
        <w:pStyle w:val="ECHRTitleCentre1"/>
        <w:keepNext w:val="0"/>
        <w:keepLines w:val="0"/>
        <w:rPr>
          <w:lang w:val="pl-PL"/>
        </w:rPr>
      </w:pPr>
      <w:r w:rsidRPr="00977945">
        <w:rPr>
          <w:lang w:val="pl-PL"/>
        </w:rPr>
        <w:t xml:space="preserve">ZGODNA OPINIA SĘDZIEGO SERGHIDESA </w:t>
      </w:r>
    </w:p>
    <w:p w14:paraId="15002A21" w14:textId="77777777" w:rsidR="009E53C0" w:rsidRPr="00977945" w:rsidRDefault="009E53C0" w:rsidP="00E76E57">
      <w:pPr>
        <w:pStyle w:val="OpiPara"/>
        <w:jc w:val="center"/>
        <w:rPr>
          <w:i/>
          <w:iCs/>
          <w:lang w:val="pl-PL"/>
        </w:rPr>
      </w:pPr>
      <w:r w:rsidRPr="00977945">
        <w:rPr>
          <w:i/>
          <w:iCs/>
          <w:lang w:val="pl-PL"/>
        </w:rPr>
        <w:t>[pominięto]</w:t>
      </w:r>
    </w:p>
    <w:p w14:paraId="5B3660AF" w14:textId="77777777" w:rsidR="00E76E57" w:rsidRDefault="00E76E57" w:rsidP="00E76E57">
      <w:pPr>
        <w:pStyle w:val="ECHRTitleCentre1"/>
        <w:keepNext w:val="0"/>
        <w:keepLines w:val="0"/>
        <w:rPr>
          <w:lang w:val="pl-PL"/>
        </w:rPr>
      </w:pPr>
    </w:p>
    <w:p w14:paraId="50280997" w14:textId="77777777" w:rsidR="00E76E57" w:rsidRDefault="00E76E57" w:rsidP="00E76E57">
      <w:pPr>
        <w:pStyle w:val="ECHRTitleCentre1"/>
        <w:keepNext w:val="0"/>
        <w:keepLines w:val="0"/>
        <w:rPr>
          <w:lang w:val="pl-PL"/>
        </w:rPr>
      </w:pPr>
    </w:p>
    <w:p w14:paraId="2B04D4E7" w14:textId="77777777" w:rsidR="00E76E57" w:rsidRDefault="00E76E57" w:rsidP="00E76E57">
      <w:pPr>
        <w:pStyle w:val="ECHRTitleCentre1"/>
        <w:keepNext w:val="0"/>
        <w:keepLines w:val="0"/>
        <w:rPr>
          <w:lang w:val="pl-PL"/>
        </w:rPr>
      </w:pPr>
    </w:p>
    <w:p w14:paraId="3948A7BD" w14:textId="14A973EF" w:rsidR="009E53C0" w:rsidRPr="00977945" w:rsidRDefault="009E53C0" w:rsidP="00D164D5">
      <w:pPr>
        <w:pStyle w:val="ECHRTitleCentre1"/>
        <w:keepNext w:val="0"/>
        <w:keepLines w:val="0"/>
        <w:rPr>
          <w:lang w:val="pl-PL"/>
        </w:rPr>
      </w:pPr>
      <w:r w:rsidRPr="00977945">
        <w:rPr>
          <w:lang w:val="pl-PL"/>
        </w:rPr>
        <w:t>ZGODNA</w:t>
      </w:r>
      <w:r w:rsidRPr="00977945">
        <w:rPr>
          <w:rStyle w:val="Odwoaniedokomentarza"/>
          <w:lang w:val="pl-PL"/>
        </w:rPr>
        <w:t xml:space="preserve"> </w:t>
      </w:r>
      <w:r w:rsidRPr="00977945">
        <w:rPr>
          <w:lang w:val="pl-PL"/>
        </w:rPr>
        <w:t>OPINIA SĘDZIEGO BOŠNJAKA, DO</w:t>
      </w:r>
      <w:r w:rsidR="00662AFD">
        <w:rPr>
          <w:lang w:val="pl-PL"/>
        </w:rPr>
        <w:t> </w:t>
      </w:r>
      <w:r w:rsidRPr="00977945">
        <w:rPr>
          <w:lang w:val="pl-PL"/>
        </w:rPr>
        <w:t>KTÓREJ</w:t>
      </w:r>
      <w:r w:rsidR="00662AFD">
        <w:rPr>
          <w:lang w:val="pl-PL"/>
        </w:rPr>
        <w:t> </w:t>
      </w:r>
      <w:r w:rsidRPr="00977945">
        <w:rPr>
          <w:lang w:val="pl-PL"/>
        </w:rPr>
        <w:t>PRZYŁĄCZYŁ SIĘ SĘDZIA SERGHIDES</w:t>
      </w:r>
    </w:p>
    <w:p w14:paraId="3357DA33" w14:textId="77777777" w:rsidR="009E53C0" w:rsidRPr="00977945" w:rsidRDefault="009E53C0" w:rsidP="00E76E57">
      <w:pPr>
        <w:pStyle w:val="OpiPara"/>
        <w:jc w:val="center"/>
        <w:rPr>
          <w:i/>
          <w:iCs/>
          <w:lang w:val="pl-PL"/>
        </w:rPr>
      </w:pPr>
      <w:r w:rsidRPr="00977945">
        <w:rPr>
          <w:i/>
          <w:iCs/>
          <w:lang w:val="pl-PL"/>
        </w:rPr>
        <w:t>[pominięto]</w:t>
      </w:r>
      <w:bookmarkEnd w:id="0"/>
    </w:p>
    <w:sectPr w:rsidR="009E53C0" w:rsidRPr="00977945" w:rsidSect="00277407">
      <w:headerReference w:type="even" r:id="rId16"/>
      <w:headerReference w:type="default" r:id="rId17"/>
      <w:footnotePr>
        <w:numRestart w:val="eachSect"/>
      </w:footnotePr>
      <w:pgSz w:w="11906" w:h="16838" w:code="9"/>
      <w:pgMar w:top="2274" w:right="2274" w:bottom="2274" w:left="2274" w:header="1701"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33AB" w14:textId="77777777" w:rsidR="008D207F" w:rsidRDefault="008D207F">
      <w:r>
        <w:separator/>
      </w:r>
    </w:p>
  </w:endnote>
  <w:endnote w:type="continuationSeparator" w:id="0">
    <w:p w14:paraId="7CE3E2C4" w14:textId="77777777" w:rsidR="008D207F" w:rsidRDefault="008D207F">
      <w:r>
        <w:continuationSeparator/>
      </w:r>
    </w:p>
  </w:endnote>
  <w:endnote w:type="continuationNotice" w:id="1">
    <w:p w14:paraId="2FD9EBAA" w14:textId="77777777" w:rsidR="008D207F" w:rsidRDefault="008D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D62D" w14:textId="77777777" w:rsidR="00A56092" w:rsidRDefault="00A560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2964" w14:textId="1FF4CB3B" w:rsidR="00A56092" w:rsidRPr="00150BFA" w:rsidRDefault="00A56092" w:rsidP="00921CFE">
    <w:pPr>
      <w:jc w:val="center"/>
    </w:pPr>
    <w:r>
      <w:rPr>
        <w:noProof/>
        <w:lang w:val="pl-PL" w:eastAsia="pl-PL"/>
      </w:rPr>
      <w:drawing>
        <wp:inline distT="0" distB="0" distL="0" distR="0" wp14:anchorId="5881D149" wp14:editId="5E027950">
          <wp:extent cx="758190" cy="6172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617220"/>
                  </a:xfrm>
                  <a:prstGeom prst="rect">
                    <a:avLst/>
                  </a:prstGeom>
                  <a:noFill/>
                  <a:ln>
                    <a:noFill/>
                  </a:ln>
                </pic:spPr>
              </pic:pic>
            </a:graphicData>
          </a:graphic>
        </wp:inline>
      </w:drawing>
    </w:r>
  </w:p>
  <w:p w14:paraId="056A90C3" w14:textId="77777777" w:rsidR="00A56092" w:rsidRPr="00A737D1" w:rsidRDefault="00A56092" w:rsidP="00921CFE">
    <w:pPr>
      <w:pStyle w:val="Stopk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EB55" w14:textId="77777777" w:rsidR="00A56092" w:rsidRDefault="00A5609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6806" w14:textId="77777777" w:rsidR="00A56092" w:rsidRPr="00F6348B" w:rsidRDefault="00A56092" w:rsidP="00921C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E83B" w14:textId="77777777" w:rsidR="008D207F" w:rsidRDefault="008D207F">
      <w:r>
        <w:separator/>
      </w:r>
    </w:p>
  </w:footnote>
  <w:footnote w:type="continuationSeparator" w:id="0">
    <w:p w14:paraId="386D66E0" w14:textId="77777777" w:rsidR="008D207F" w:rsidRDefault="008D207F">
      <w:r>
        <w:continuationSeparator/>
      </w:r>
    </w:p>
  </w:footnote>
  <w:footnote w:type="continuationNotice" w:id="1">
    <w:p w14:paraId="095D97CC" w14:textId="77777777" w:rsidR="008D207F" w:rsidRDefault="008D207F"/>
  </w:footnote>
  <w:footnote w:id="2">
    <w:p w14:paraId="0746D15D" w14:textId="52563735" w:rsidR="00A56092" w:rsidRPr="00165618" w:rsidRDefault="00A56092" w:rsidP="00807FCB">
      <w:pPr>
        <w:pStyle w:val="s50c0b1c7"/>
        <w:jc w:val="both"/>
        <w:rPr>
          <w:lang w:val="pl-PL"/>
        </w:rPr>
      </w:pPr>
      <w:r w:rsidRPr="000F0EEB">
        <w:rPr>
          <w:rStyle w:val="Odwoanieprzypisudolnego"/>
          <w:sz w:val="20"/>
          <w:szCs w:val="20"/>
        </w:rPr>
        <w:footnoteRef/>
      </w:r>
      <w:r w:rsidRPr="000F0EEB">
        <w:rPr>
          <w:sz w:val="20"/>
          <w:szCs w:val="20"/>
          <w:lang w:val="pl-PL"/>
        </w:rPr>
        <w:t xml:space="preserve"> Źródło: Nota informacyjna na temat orzecznictwa Trybunału nr 231, lipiec 2019 r. (</w:t>
      </w:r>
      <w:r w:rsidRPr="000F0EEB">
        <w:rPr>
          <w:rStyle w:val="s3aeeab2"/>
          <w:i/>
          <w:iCs/>
          <w:sz w:val="20"/>
          <w:szCs w:val="20"/>
          <w:lang w:val="pl-PL"/>
        </w:rPr>
        <w:t>Nota</w:t>
      </w:r>
      <w:r>
        <w:rPr>
          <w:rStyle w:val="s3aeeab2"/>
          <w:i/>
          <w:iCs/>
          <w:sz w:val="20"/>
          <w:szCs w:val="20"/>
          <w:lang w:val="pl-PL"/>
        </w:rPr>
        <w:t> </w:t>
      </w:r>
      <w:r w:rsidRPr="000F0EEB">
        <w:rPr>
          <w:rStyle w:val="s3aeeab2"/>
          <w:i/>
          <w:iCs/>
          <w:sz w:val="20"/>
          <w:szCs w:val="20"/>
          <w:lang w:val="pl-PL"/>
        </w:rPr>
        <w:t>informacyjna</w:t>
      </w:r>
      <w:r w:rsidRPr="000F0EEB">
        <w:rPr>
          <w:rStyle w:val="s3aeeab2"/>
          <w:sz w:val="20"/>
          <w:szCs w:val="20"/>
          <w:lang w:val="pl-PL"/>
        </w:rPr>
        <w:t xml:space="preserve"> </w:t>
      </w:r>
      <w:r w:rsidRPr="000F0EEB">
        <w:rPr>
          <w:rStyle w:val="s3aeeab2"/>
          <w:i/>
          <w:iCs/>
          <w:sz w:val="20"/>
          <w:szCs w:val="20"/>
          <w:lang w:val="pl-PL"/>
        </w:rPr>
        <w:t>na temat orzecznictwa Europejskiego Trybunału Praw Człowieka nr</w:t>
      </w:r>
      <w:r>
        <w:rPr>
          <w:rStyle w:val="s3aeeab2"/>
          <w:i/>
          <w:iCs/>
          <w:sz w:val="20"/>
          <w:szCs w:val="20"/>
          <w:lang w:val="pl-PL"/>
        </w:rPr>
        <w:t> </w:t>
      </w:r>
      <w:r w:rsidRPr="000F0EEB">
        <w:rPr>
          <w:rStyle w:val="s3aeeab2"/>
          <w:i/>
          <w:iCs/>
          <w:sz w:val="20"/>
          <w:szCs w:val="20"/>
          <w:lang w:val="pl-PL"/>
        </w:rPr>
        <w:t xml:space="preserve">231, lipiec 2019 / </w:t>
      </w:r>
      <w:r w:rsidRPr="000F0EEB">
        <w:rPr>
          <w:rStyle w:val="sfbbfee58"/>
          <w:i/>
          <w:iCs/>
          <w:sz w:val="20"/>
          <w:szCs w:val="20"/>
          <w:lang w:val="pl-PL"/>
        </w:rPr>
        <w:t xml:space="preserve">Note d’information sur la jurisprudence de la Cour 231 / </w:t>
      </w:r>
      <w:r w:rsidRPr="000F0EEB">
        <w:rPr>
          <w:i/>
          <w:iCs/>
          <w:sz w:val="20"/>
          <w:szCs w:val="20"/>
          <w:lang w:val="pl-PL"/>
        </w:rPr>
        <w:t>Juillet</w:t>
      </w:r>
      <w:r w:rsidRPr="000F0EEB">
        <w:rPr>
          <w:rStyle w:val="sfbbfee58"/>
          <w:i/>
          <w:iCs/>
          <w:sz w:val="20"/>
          <w:szCs w:val="20"/>
          <w:lang w:val="pl-PL"/>
        </w:rPr>
        <w:t xml:space="preserve"> 2019</w:t>
      </w:r>
      <w:r w:rsidRPr="000F0EEB">
        <w:rPr>
          <w:rStyle w:val="s3aeeab2"/>
          <w:sz w:val="20"/>
          <w:szCs w:val="20"/>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D658" w14:textId="77777777" w:rsidR="00A56092" w:rsidRDefault="00A560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4967" w14:textId="6B26E3A5" w:rsidR="00A56092" w:rsidRPr="00A45145" w:rsidRDefault="00A56092" w:rsidP="00921CFE">
    <w:pPr>
      <w:jc w:val="center"/>
    </w:pPr>
    <w:r>
      <w:rPr>
        <w:noProof/>
        <w:lang w:val="pl-PL" w:eastAsia="pl-PL"/>
      </w:rPr>
      <w:drawing>
        <wp:inline distT="0" distB="0" distL="0" distR="0" wp14:anchorId="5E7563C8" wp14:editId="11F1250B">
          <wp:extent cx="29622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7AE4F7" w14:textId="77777777" w:rsidR="00A56092" w:rsidRDefault="00A56092" w:rsidP="00921C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5AAD0" w14:textId="77777777" w:rsidR="00A56092" w:rsidRDefault="00A5609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2286" w14:textId="7C1CBBD0" w:rsidR="00A56092" w:rsidRPr="000F46C5" w:rsidRDefault="00A56092" w:rsidP="00921CFE">
    <w:pPr>
      <w:pStyle w:val="ECHRHeader"/>
      <w:rPr>
        <w:lang w:val="pl-PL"/>
      </w:rPr>
    </w:pPr>
    <w:r>
      <w:rPr>
        <w:rStyle w:val="Numerstrony"/>
      </w:rPr>
      <w:fldChar w:fldCharType="begin"/>
    </w:r>
    <w:r w:rsidRPr="000F46C5">
      <w:rPr>
        <w:rStyle w:val="Numerstrony"/>
        <w:lang w:val="pl-PL"/>
      </w:rPr>
      <w:instrText xml:space="preserve"> PAGE </w:instrText>
    </w:r>
    <w:r>
      <w:rPr>
        <w:rStyle w:val="Numerstrony"/>
      </w:rPr>
      <w:fldChar w:fldCharType="separate"/>
    </w:r>
    <w:r w:rsidR="004174C5">
      <w:rPr>
        <w:rStyle w:val="Numerstrony"/>
        <w:noProof/>
        <w:lang w:val="pl-PL"/>
      </w:rPr>
      <w:t>28</w:t>
    </w:r>
    <w:r>
      <w:rPr>
        <w:rStyle w:val="Numerstrony"/>
      </w:rPr>
      <w:fldChar w:fldCharType="end"/>
    </w:r>
    <w:r w:rsidRPr="000F46C5">
      <w:rPr>
        <w:lang w:val="pl-PL"/>
      </w:rPr>
      <w:tab/>
      <w:t>WYROK W SPRAWIE MIHALACHE PRZECIWKO RUMUNII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3EF3" w14:textId="1ADE252A" w:rsidR="00A56092" w:rsidRPr="000F46C5" w:rsidRDefault="00A56092" w:rsidP="00921CFE">
    <w:pPr>
      <w:pStyle w:val="ECHRHeader"/>
      <w:rPr>
        <w:lang w:val="pl-PL"/>
      </w:rPr>
    </w:pPr>
    <w:r>
      <w:tab/>
    </w:r>
    <w:r w:rsidRPr="000F46C5">
      <w:rPr>
        <w:lang w:val="pl-PL"/>
      </w:rPr>
      <w:t>WYROK W SPRAWIE MIHALACHE PRZECIWKO RUMUNII</w:t>
    </w:r>
    <w:r w:rsidRPr="000F46C5">
      <w:rPr>
        <w:lang w:val="pl-PL"/>
      </w:rPr>
      <w:tab/>
    </w:r>
    <w:r>
      <w:rPr>
        <w:rStyle w:val="Numerstrony"/>
      </w:rPr>
      <w:fldChar w:fldCharType="begin"/>
    </w:r>
    <w:r w:rsidRPr="000F46C5">
      <w:rPr>
        <w:rStyle w:val="Numerstrony"/>
        <w:lang w:val="pl-PL"/>
      </w:rPr>
      <w:instrText xml:space="preserve"> PAGE </w:instrText>
    </w:r>
    <w:r>
      <w:rPr>
        <w:rStyle w:val="Numerstrony"/>
      </w:rPr>
      <w:fldChar w:fldCharType="separate"/>
    </w:r>
    <w:r w:rsidR="004174C5">
      <w:rPr>
        <w:rStyle w:val="Numerstrony"/>
        <w:noProof/>
        <w:lang w:val="pl-PL"/>
      </w:rPr>
      <w:t>27</w:t>
    </w:r>
    <w:r>
      <w:rPr>
        <w:rStyle w:val="Numerstrony"/>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DF28" w14:textId="0DED50F6" w:rsidR="00A56092" w:rsidRPr="005956FF" w:rsidRDefault="00A56092" w:rsidP="00921CFE">
    <w:pPr>
      <w:pStyle w:val="ECHRHeader"/>
      <w:tabs>
        <w:tab w:val="clear" w:pos="3686"/>
        <w:tab w:val="clear" w:pos="7371"/>
        <w:tab w:val="center" w:pos="3685"/>
      </w:tabs>
      <w:rPr>
        <w:lang w:val="pl-PL"/>
      </w:rPr>
    </w:pPr>
    <w:r w:rsidRPr="005956FF">
      <w:rPr>
        <w:rStyle w:val="Numerstrony"/>
        <w:lang w:val="pl-PL"/>
      </w:rPr>
      <w:fldChar w:fldCharType="begin"/>
    </w:r>
    <w:r w:rsidRPr="005956FF">
      <w:rPr>
        <w:rStyle w:val="Numerstrony"/>
        <w:lang w:val="pl-PL"/>
      </w:rPr>
      <w:instrText xml:space="preserve"> PAGE </w:instrText>
    </w:r>
    <w:r w:rsidRPr="005956FF">
      <w:rPr>
        <w:rStyle w:val="Numerstrony"/>
        <w:lang w:val="pl-PL"/>
      </w:rPr>
      <w:fldChar w:fldCharType="separate"/>
    </w:r>
    <w:r w:rsidR="00A95E4A">
      <w:rPr>
        <w:rStyle w:val="Numerstrony"/>
        <w:noProof/>
        <w:lang w:val="pl-PL"/>
      </w:rPr>
      <w:t>36</w:t>
    </w:r>
    <w:r w:rsidRPr="005956FF">
      <w:rPr>
        <w:rStyle w:val="Numerstrony"/>
        <w:lang w:val="pl-PL"/>
      </w:rPr>
      <w:fldChar w:fldCharType="end"/>
    </w:r>
    <w:r w:rsidRPr="005956FF">
      <w:rPr>
        <w:lang w:val="pl-PL"/>
      </w:rPr>
      <w:tab/>
      <w:t xml:space="preserve">WYROK MIHALACHE </w:t>
    </w:r>
    <w:r>
      <w:rPr>
        <w:lang w:val="pl-PL"/>
      </w:rPr>
      <w:t>PRZECIWKO</w:t>
    </w:r>
    <w:r w:rsidRPr="005956FF">
      <w:rPr>
        <w:lang w:val="pl-PL"/>
      </w:rPr>
      <w:t xml:space="preserve"> RUMUNII</w:t>
    </w:r>
    <w:r w:rsidRPr="005956FF">
      <w:rPr>
        <w:noProof/>
        <w:lang w:val="pl-PL"/>
      </w:rPr>
      <w:t xml:space="preserve"> </w:t>
    </w:r>
    <w:r w:rsidRPr="005956FF">
      <w:rPr>
        <w:lang w:val="pl-PL"/>
      </w:rPr>
      <w:t>–</w:t>
    </w:r>
    <w:r w:rsidRPr="005956FF">
      <w:rPr>
        <w:noProof/>
        <w:lang w:val="pl-PL"/>
      </w:rPr>
      <w:t xml:space="preserve"> OPINIE ODRĘBNE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E713" w14:textId="48EFB112" w:rsidR="00A56092" w:rsidRPr="005956FF" w:rsidRDefault="00A56092" w:rsidP="00921CFE">
    <w:pPr>
      <w:pStyle w:val="ECHRHeader"/>
      <w:tabs>
        <w:tab w:val="clear" w:pos="3686"/>
        <w:tab w:val="clear" w:pos="7371"/>
        <w:tab w:val="center" w:pos="3685"/>
        <w:tab w:val="right" w:pos="7370"/>
      </w:tabs>
      <w:rPr>
        <w:lang w:val="pl-PL"/>
      </w:rPr>
    </w:pPr>
    <w:r>
      <w:tab/>
    </w:r>
    <w:r w:rsidRPr="005956FF">
      <w:rPr>
        <w:lang w:val="pl-PL"/>
      </w:rPr>
      <w:t>WYROK MIHALACHE przeciwko RUMUNII</w:t>
    </w:r>
    <w:r w:rsidRPr="005956FF">
      <w:rPr>
        <w:noProof/>
        <w:lang w:val="pl-PL"/>
      </w:rPr>
      <w:t xml:space="preserve"> </w:t>
    </w:r>
    <w:r w:rsidRPr="005956FF">
      <w:rPr>
        <w:lang w:val="pl-PL"/>
      </w:rPr>
      <w:t>–</w:t>
    </w:r>
    <w:r w:rsidRPr="005956FF">
      <w:rPr>
        <w:noProof/>
        <w:lang w:val="pl-PL"/>
      </w:rPr>
      <w:t xml:space="preserve"> OPINIE ODRĘBNE</w:t>
    </w:r>
    <w:r w:rsidRPr="005956FF">
      <w:rPr>
        <w:lang w:val="pl-PL"/>
      </w:rPr>
      <w:tab/>
    </w:r>
    <w:r w:rsidRPr="005956FF">
      <w:rPr>
        <w:rStyle w:val="Numerstrony"/>
        <w:lang w:val="pl-PL"/>
      </w:rPr>
      <w:fldChar w:fldCharType="begin"/>
    </w:r>
    <w:r w:rsidRPr="005956FF">
      <w:rPr>
        <w:rStyle w:val="Numerstrony"/>
        <w:lang w:val="pl-PL"/>
      </w:rPr>
      <w:instrText xml:space="preserve"> PAGE </w:instrText>
    </w:r>
    <w:r w:rsidRPr="005956FF">
      <w:rPr>
        <w:rStyle w:val="Numerstrony"/>
        <w:lang w:val="pl-PL"/>
      </w:rPr>
      <w:fldChar w:fldCharType="separate"/>
    </w:r>
    <w:r w:rsidR="00B97D79">
      <w:rPr>
        <w:rStyle w:val="Numerstrony"/>
        <w:noProof/>
        <w:lang w:val="pl-PL"/>
      </w:rPr>
      <w:t>33</w:t>
    </w:r>
    <w:r w:rsidRPr="005956FF">
      <w:rPr>
        <w:rStyle w:val="Numerstrony"/>
        <w:lang w:val="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8694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4EE562"/>
    <w:lvl w:ilvl="0">
      <w:start w:val="1"/>
      <w:numFmt w:val="decimal"/>
      <w:pStyle w:val="Listanumerowana5"/>
      <w:lvlText w:val="%1."/>
      <w:lvlJc w:val="left"/>
      <w:pPr>
        <w:tabs>
          <w:tab w:val="num" w:pos="1209"/>
        </w:tabs>
        <w:ind w:left="1209" w:hanging="360"/>
      </w:pPr>
    </w:lvl>
  </w:abstractNum>
  <w:abstractNum w:abstractNumId="2" w15:restartNumberingAfterBreak="0">
    <w:nsid w:val="FFFFFF7E"/>
    <w:multiLevelType w:val="singleLevel"/>
    <w:tmpl w:val="F8BE1DE4"/>
    <w:lvl w:ilvl="0">
      <w:start w:val="1"/>
      <w:numFmt w:val="decimal"/>
      <w:pStyle w:val="Listanumerowana4"/>
      <w:lvlText w:val="%1."/>
      <w:lvlJc w:val="left"/>
      <w:pPr>
        <w:tabs>
          <w:tab w:val="num" w:pos="926"/>
        </w:tabs>
        <w:ind w:left="926" w:hanging="360"/>
      </w:pPr>
    </w:lvl>
  </w:abstractNum>
  <w:abstractNum w:abstractNumId="3" w15:restartNumberingAfterBreak="0">
    <w:nsid w:val="FFFFFF7F"/>
    <w:multiLevelType w:val="singleLevel"/>
    <w:tmpl w:val="D49C1F36"/>
    <w:lvl w:ilvl="0">
      <w:start w:val="1"/>
      <w:numFmt w:val="decimal"/>
      <w:pStyle w:val="Listanumerowana3"/>
      <w:lvlText w:val="%1."/>
      <w:lvlJc w:val="left"/>
      <w:pPr>
        <w:tabs>
          <w:tab w:val="num" w:pos="643"/>
        </w:tabs>
        <w:ind w:left="643" w:hanging="360"/>
      </w:pPr>
    </w:lvl>
  </w:abstractNum>
  <w:abstractNum w:abstractNumId="4" w15:restartNumberingAfterBreak="0">
    <w:nsid w:val="FFFFFF80"/>
    <w:multiLevelType w:val="singleLevel"/>
    <w:tmpl w:val="80F83F58"/>
    <w:lvl w:ilvl="0">
      <w:start w:val="1"/>
      <w:numFmt w:val="bullet"/>
      <w:pStyle w:val="Listanumerowana"/>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D343BD6"/>
    <w:lvl w:ilvl="0">
      <w:start w:val="1"/>
      <w:numFmt w:val="bullet"/>
      <w:pStyle w:val="Listapunktowana5"/>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B88B370"/>
    <w:lvl w:ilvl="0">
      <w:start w:val="1"/>
      <w:numFmt w:val="bullet"/>
      <w:pStyle w:val="Listapunktowana4"/>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75C6674"/>
    <w:lvl w:ilvl="0">
      <w:start w:val="1"/>
      <w:numFmt w:val="bullet"/>
      <w:pStyle w:val="Listapunktowana3"/>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E56806E"/>
    <w:lvl w:ilvl="0">
      <w:start w:val="1"/>
      <w:numFmt w:val="decimal"/>
      <w:pStyle w:val="Listanumerowana2"/>
      <w:lvlText w:val="%1."/>
      <w:lvlJc w:val="left"/>
      <w:pPr>
        <w:tabs>
          <w:tab w:val="num" w:pos="360"/>
        </w:tabs>
        <w:ind w:left="360" w:hanging="360"/>
      </w:pPr>
    </w:lvl>
  </w:abstractNum>
  <w:abstractNum w:abstractNumId="9" w15:restartNumberingAfterBreak="0">
    <w:nsid w:val="FFFFFF89"/>
    <w:multiLevelType w:val="singleLevel"/>
    <w:tmpl w:val="0BF2B39C"/>
    <w:lvl w:ilvl="0">
      <w:start w:val="1"/>
      <w:numFmt w:val="bullet"/>
      <w:pStyle w:val="Listapunktowana2"/>
      <w:lvlText w:val=""/>
      <w:lvlJc w:val="left"/>
      <w:pPr>
        <w:tabs>
          <w:tab w:val="num" w:pos="360"/>
        </w:tabs>
        <w:ind w:left="360" w:hanging="360"/>
      </w:pPr>
      <w:rPr>
        <w:rFonts w:ascii="Symbol" w:hAnsi="Symbol" w:cs="Symbol" w:hint="default"/>
      </w:rPr>
    </w:lvl>
  </w:abstractNum>
  <w:abstractNum w:abstractNumId="10" w15:restartNumberingAfterBreak="0">
    <w:nsid w:val="27D5546B"/>
    <w:multiLevelType w:val="multilevel"/>
    <w:tmpl w:val="EAB0152A"/>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E15A7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7F58D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466D8E"/>
    <w:multiLevelType w:val="multilevel"/>
    <w:tmpl w:val="040C0023"/>
    <w:styleLink w:val="Artykusekcja"/>
    <w:lvl w:ilvl="0">
      <w:start w:val="1"/>
      <w:numFmt w:val="upperRoman"/>
      <w:lvlText w:val="Artykuł %1."/>
      <w:lvlJc w:val="left"/>
    </w:lvl>
    <w:lvl w:ilvl="1">
      <w:start w:val="1"/>
      <w:numFmt w:val="decimalZero"/>
      <w:isLgl/>
      <w:lvlText w:val="Sekcja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cs="Wingdings" w:hint="default"/>
        <w:color w:val="0072BC"/>
      </w:rPr>
    </w:lvl>
    <w:lvl w:ilvl="1">
      <w:start w:val="1"/>
      <w:numFmt w:val="bullet"/>
      <w:pStyle w:val="ECHRBullet2"/>
      <w:lvlText w:val=""/>
      <w:lvlJc w:val="left"/>
      <w:pPr>
        <w:tabs>
          <w:tab w:val="num" w:pos="1134"/>
        </w:tabs>
        <w:ind w:left="1135" w:hanging="284"/>
      </w:pPr>
      <w:rPr>
        <w:rFonts w:ascii="Wingdings" w:hAnsi="Wingdings" w:cs="Wingdings" w:hint="default"/>
        <w:color w:val="0072BC"/>
      </w:rPr>
    </w:lvl>
    <w:lvl w:ilvl="2">
      <w:start w:val="1"/>
      <w:numFmt w:val="bullet"/>
      <w:pStyle w:val="ECHRBullet3"/>
      <w:lvlText w:val=""/>
      <w:lvlJc w:val="left"/>
      <w:pPr>
        <w:tabs>
          <w:tab w:val="num" w:pos="1418"/>
        </w:tabs>
        <w:ind w:left="1419" w:hanging="284"/>
      </w:pPr>
      <w:rPr>
        <w:rFonts w:ascii="Wingdings" w:hAnsi="Wingdings" w:cs="Wingdings" w:hint="default"/>
        <w:color w:val="7F7F7F"/>
      </w:rPr>
    </w:lvl>
    <w:lvl w:ilvl="3">
      <w:start w:val="1"/>
      <w:numFmt w:val="bullet"/>
      <w:pStyle w:val="ECHRBullet4"/>
      <w:lvlText w:val=""/>
      <w:lvlJc w:val="left"/>
      <w:pPr>
        <w:tabs>
          <w:tab w:val="num" w:pos="1701"/>
        </w:tabs>
        <w:ind w:left="1703" w:hanging="284"/>
      </w:pPr>
      <w:rPr>
        <w:rFonts w:ascii="Wingdings" w:hAnsi="Wingdings" w:cs="Wingdings" w:hint="default"/>
        <w:color w:val="7F7F7F"/>
      </w:rPr>
    </w:lvl>
    <w:lvl w:ilvl="4">
      <w:start w:val="1"/>
      <w:numFmt w:val="bullet"/>
      <w:lvlText w:val=""/>
      <w:lvlJc w:val="left"/>
      <w:pPr>
        <w:tabs>
          <w:tab w:val="num" w:pos="1760"/>
        </w:tabs>
        <w:ind w:left="1987" w:hanging="284"/>
      </w:pPr>
      <w:rPr>
        <w:rFonts w:ascii="Wingdings" w:hAnsi="Wingdings" w:cs="Wingdings" w:hint="default"/>
        <w:color w:val="0072BC"/>
      </w:rPr>
    </w:lvl>
    <w:lvl w:ilvl="5">
      <w:start w:val="1"/>
      <w:numFmt w:val="bullet"/>
      <w:lvlText w:val=""/>
      <w:lvlJc w:val="left"/>
      <w:pPr>
        <w:tabs>
          <w:tab w:val="num" w:pos="2044"/>
        </w:tabs>
        <w:ind w:left="2271" w:hanging="284"/>
      </w:pPr>
      <w:rPr>
        <w:rFonts w:ascii="Wingdings" w:hAnsi="Wingdings" w:cs="Wingdings" w:hint="default"/>
        <w:color w:val="5F5F5F"/>
      </w:rPr>
    </w:lvl>
    <w:lvl w:ilvl="6">
      <w:start w:val="1"/>
      <w:numFmt w:val="bullet"/>
      <w:lvlText w:val=""/>
      <w:lvlJc w:val="left"/>
      <w:pPr>
        <w:tabs>
          <w:tab w:val="num" w:pos="2328"/>
        </w:tabs>
        <w:ind w:left="2555" w:hanging="284"/>
      </w:pPr>
      <w:rPr>
        <w:rFonts w:ascii="Symbol" w:hAnsi="Symbol" w:cs="Symbol" w:hint="default"/>
      </w:rPr>
    </w:lvl>
    <w:lvl w:ilvl="7">
      <w:start w:val="1"/>
      <w:numFmt w:val="bullet"/>
      <w:lvlText w:val="o"/>
      <w:lvlJc w:val="left"/>
      <w:pPr>
        <w:tabs>
          <w:tab w:val="num" w:pos="2612"/>
        </w:tabs>
        <w:ind w:left="2839" w:hanging="284"/>
      </w:pPr>
      <w:rPr>
        <w:rFonts w:ascii="Courier New" w:hAnsi="Courier New" w:cs="Courier New" w:hint="default"/>
      </w:rPr>
    </w:lvl>
    <w:lvl w:ilvl="8">
      <w:start w:val="1"/>
      <w:numFmt w:val="bullet"/>
      <w:lvlText w:val=""/>
      <w:lvlJc w:val="left"/>
      <w:pPr>
        <w:tabs>
          <w:tab w:val="num" w:pos="2896"/>
        </w:tabs>
        <w:ind w:left="3123" w:hanging="284"/>
      </w:pPr>
      <w:rPr>
        <w:rFonts w:ascii="Wingdings" w:hAnsi="Wingdings" w:cs="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FD1241"/>
    <w:multiLevelType w:val="hybridMultilevel"/>
    <w:tmpl w:val="F6D86CC2"/>
    <w:lvl w:ilvl="0" w:tplc="A16E6A30">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1FC65002">
      <w:start w:val="1"/>
      <w:numFmt w:val="bullet"/>
      <w:lvlText w:val="o"/>
      <w:lvlJc w:val="left"/>
      <w:pPr>
        <w:tabs>
          <w:tab w:val="num" w:pos="1724"/>
        </w:tabs>
        <w:ind w:left="1724" w:hanging="360"/>
      </w:pPr>
      <w:rPr>
        <w:rFonts w:ascii="Courier New" w:hAnsi="Courier New" w:cs="Courier New" w:hint="default"/>
      </w:rPr>
    </w:lvl>
    <w:lvl w:ilvl="2" w:tplc="D8C0EDCC">
      <w:start w:val="1"/>
      <w:numFmt w:val="bullet"/>
      <w:lvlText w:val=""/>
      <w:lvlJc w:val="left"/>
      <w:pPr>
        <w:tabs>
          <w:tab w:val="num" w:pos="2444"/>
        </w:tabs>
        <w:ind w:left="2444" w:hanging="360"/>
      </w:pPr>
      <w:rPr>
        <w:rFonts w:ascii="Wingdings" w:hAnsi="Wingdings" w:cs="Wingdings" w:hint="default"/>
      </w:rPr>
    </w:lvl>
    <w:lvl w:ilvl="3" w:tplc="3490E25C">
      <w:start w:val="1"/>
      <w:numFmt w:val="bullet"/>
      <w:lvlText w:val=""/>
      <w:lvlJc w:val="left"/>
      <w:pPr>
        <w:tabs>
          <w:tab w:val="num" w:pos="3164"/>
        </w:tabs>
        <w:ind w:left="3164" w:hanging="360"/>
      </w:pPr>
      <w:rPr>
        <w:rFonts w:ascii="Symbol" w:hAnsi="Symbol" w:cs="Symbol" w:hint="default"/>
      </w:rPr>
    </w:lvl>
    <w:lvl w:ilvl="4" w:tplc="7D4A1404">
      <w:start w:val="1"/>
      <w:numFmt w:val="bullet"/>
      <w:lvlText w:val="o"/>
      <w:lvlJc w:val="left"/>
      <w:pPr>
        <w:tabs>
          <w:tab w:val="num" w:pos="3884"/>
        </w:tabs>
        <w:ind w:left="3884" w:hanging="360"/>
      </w:pPr>
      <w:rPr>
        <w:rFonts w:ascii="Courier New" w:hAnsi="Courier New" w:cs="Courier New" w:hint="default"/>
      </w:rPr>
    </w:lvl>
    <w:lvl w:ilvl="5" w:tplc="20026FC6">
      <w:start w:val="1"/>
      <w:numFmt w:val="bullet"/>
      <w:lvlText w:val=""/>
      <w:lvlJc w:val="left"/>
      <w:pPr>
        <w:tabs>
          <w:tab w:val="num" w:pos="4604"/>
        </w:tabs>
        <w:ind w:left="4604" w:hanging="360"/>
      </w:pPr>
      <w:rPr>
        <w:rFonts w:ascii="Wingdings" w:hAnsi="Wingdings" w:cs="Wingdings" w:hint="default"/>
      </w:rPr>
    </w:lvl>
    <w:lvl w:ilvl="6" w:tplc="834ECC00">
      <w:start w:val="1"/>
      <w:numFmt w:val="bullet"/>
      <w:lvlText w:val=""/>
      <w:lvlJc w:val="left"/>
      <w:pPr>
        <w:tabs>
          <w:tab w:val="num" w:pos="5324"/>
        </w:tabs>
        <w:ind w:left="5324" w:hanging="360"/>
      </w:pPr>
      <w:rPr>
        <w:rFonts w:ascii="Symbol" w:hAnsi="Symbol" w:cs="Symbol" w:hint="default"/>
      </w:rPr>
    </w:lvl>
    <w:lvl w:ilvl="7" w:tplc="AFF4B166">
      <w:start w:val="1"/>
      <w:numFmt w:val="bullet"/>
      <w:lvlText w:val="o"/>
      <w:lvlJc w:val="left"/>
      <w:pPr>
        <w:tabs>
          <w:tab w:val="num" w:pos="6044"/>
        </w:tabs>
        <w:ind w:left="6044" w:hanging="360"/>
      </w:pPr>
      <w:rPr>
        <w:rFonts w:ascii="Courier New" w:hAnsi="Courier New" w:cs="Courier New" w:hint="default"/>
      </w:rPr>
    </w:lvl>
    <w:lvl w:ilvl="8" w:tplc="232A8428">
      <w:start w:val="1"/>
      <w:numFmt w:val="bullet"/>
      <w:lvlText w:val=""/>
      <w:lvlJc w:val="left"/>
      <w:pPr>
        <w:tabs>
          <w:tab w:val="num" w:pos="6764"/>
        </w:tabs>
        <w:ind w:left="6764" w:hanging="360"/>
      </w:pPr>
      <w:rPr>
        <w:rFonts w:ascii="Wingdings" w:hAnsi="Wingdings" w:cs="Wingdings" w:hint="default"/>
      </w:rPr>
    </w:lvl>
  </w:abstractNum>
  <w:abstractNum w:abstractNumId="19" w15:restartNumberingAfterBreak="0">
    <w:nsid w:val="7F7A42D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8"/>
  </w:num>
  <w:num w:numId="21">
    <w:abstractNumId w:val="17"/>
  </w:num>
  <w:num w:numId="22">
    <w:abstractNumId w:val="16"/>
  </w:num>
  <w:num w:numId="23">
    <w:abstractNumId w:val="13"/>
  </w:num>
  <w:num w:numId="24">
    <w:abstractNumId w:val="14"/>
  </w:num>
  <w:num w:numId="25">
    <w:abstractNumId w:val="15"/>
  </w:num>
  <w:num w:numId="26">
    <w:abstractNumId w:val="10"/>
  </w:num>
  <w:num w:numId="27">
    <w:abstractNumId w:val="19"/>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LW_DocType" w:val="NORMAL"/>
    <w:docVar w:name="NBEMMDOC" w:val="0"/>
  </w:docVars>
  <w:rsids>
    <w:rsidRoot w:val="00921CFE"/>
    <w:rsid w:val="000030F3"/>
    <w:rsid w:val="000068E7"/>
    <w:rsid w:val="00017896"/>
    <w:rsid w:val="000213A7"/>
    <w:rsid w:val="00037EEE"/>
    <w:rsid w:val="000434FB"/>
    <w:rsid w:val="00047286"/>
    <w:rsid w:val="000472CF"/>
    <w:rsid w:val="000559FA"/>
    <w:rsid w:val="00060B45"/>
    <w:rsid w:val="000751C1"/>
    <w:rsid w:val="00087652"/>
    <w:rsid w:val="00087A51"/>
    <w:rsid w:val="00097862"/>
    <w:rsid w:val="000B2052"/>
    <w:rsid w:val="000C7720"/>
    <w:rsid w:val="000D29BE"/>
    <w:rsid w:val="000D30FE"/>
    <w:rsid w:val="000D605D"/>
    <w:rsid w:val="000D63DC"/>
    <w:rsid w:val="000E3B6F"/>
    <w:rsid w:val="000F0EEB"/>
    <w:rsid w:val="000F46C5"/>
    <w:rsid w:val="000F5603"/>
    <w:rsid w:val="000F642A"/>
    <w:rsid w:val="001024C6"/>
    <w:rsid w:val="00114431"/>
    <w:rsid w:val="00123670"/>
    <w:rsid w:val="00125DEC"/>
    <w:rsid w:val="00130520"/>
    <w:rsid w:val="0014054A"/>
    <w:rsid w:val="00141CCE"/>
    <w:rsid w:val="00144832"/>
    <w:rsid w:val="00150BFA"/>
    <w:rsid w:val="00165618"/>
    <w:rsid w:val="001660A2"/>
    <w:rsid w:val="00170ACF"/>
    <w:rsid w:val="00172DA3"/>
    <w:rsid w:val="00175E0E"/>
    <w:rsid w:val="00181561"/>
    <w:rsid w:val="00194D15"/>
    <w:rsid w:val="001B5B5D"/>
    <w:rsid w:val="001D449F"/>
    <w:rsid w:val="001D7382"/>
    <w:rsid w:val="001E563C"/>
    <w:rsid w:val="001F5A65"/>
    <w:rsid w:val="00205C1E"/>
    <w:rsid w:val="00207198"/>
    <w:rsid w:val="0021042C"/>
    <w:rsid w:val="002124A9"/>
    <w:rsid w:val="00235496"/>
    <w:rsid w:val="002550B3"/>
    <w:rsid w:val="00256CF5"/>
    <w:rsid w:val="00260353"/>
    <w:rsid w:val="00270F38"/>
    <w:rsid w:val="002723CA"/>
    <w:rsid w:val="00277407"/>
    <w:rsid w:val="002800EF"/>
    <w:rsid w:val="002C2773"/>
    <w:rsid w:val="002D16A8"/>
    <w:rsid w:val="002D63B7"/>
    <w:rsid w:val="002F2887"/>
    <w:rsid w:val="002F5578"/>
    <w:rsid w:val="002F64EA"/>
    <w:rsid w:val="00311248"/>
    <w:rsid w:val="0031126D"/>
    <w:rsid w:val="00337B8B"/>
    <w:rsid w:val="00340D93"/>
    <w:rsid w:val="00347540"/>
    <w:rsid w:val="00354DA8"/>
    <w:rsid w:val="00360627"/>
    <w:rsid w:val="003628BB"/>
    <w:rsid w:val="003A0852"/>
    <w:rsid w:val="003A11B1"/>
    <w:rsid w:val="003A4246"/>
    <w:rsid w:val="003B2B9F"/>
    <w:rsid w:val="003C02DD"/>
    <w:rsid w:val="003D1A7F"/>
    <w:rsid w:val="003D2AF8"/>
    <w:rsid w:val="003E52C6"/>
    <w:rsid w:val="004174C5"/>
    <w:rsid w:val="00424470"/>
    <w:rsid w:val="00425BE9"/>
    <w:rsid w:val="00427D97"/>
    <w:rsid w:val="0043151D"/>
    <w:rsid w:val="00431F3C"/>
    <w:rsid w:val="00432011"/>
    <w:rsid w:val="00432D1E"/>
    <w:rsid w:val="0044329B"/>
    <w:rsid w:val="00446A47"/>
    <w:rsid w:val="00457D12"/>
    <w:rsid w:val="004673C8"/>
    <w:rsid w:val="004740BA"/>
    <w:rsid w:val="0048135C"/>
    <w:rsid w:val="004842B0"/>
    <w:rsid w:val="00491710"/>
    <w:rsid w:val="00491AFE"/>
    <w:rsid w:val="004B2791"/>
    <w:rsid w:val="004B4922"/>
    <w:rsid w:val="004E00E5"/>
    <w:rsid w:val="004E7426"/>
    <w:rsid w:val="004F5863"/>
    <w:rsid w:val="00522898"/>
    <w:rsid w:val="0053549F"/>
    <w:rsid w:val="00535A74"/>
    <w:rsid w:val="00541455"/>
    <w:rsid w:val="005758F7"/>
    <w:rsid w:val="00577D67"/>
    <w:rsid w:val="00585693"/>
    <w:rsid w:val="00586675"/>
    <w:rsid w:val="005956FF"/>
    <w:rsid w:val="005E2F2A"/>
    <w:rsid w:val="0060359A"/>
    <w:rsid w:val="00620F60"/>
    <w:rsid w:val="00625969"/>
    <w:rsid w:val="00631755"/>
    <w:rsid w:val="006336F3"/>
    <w:rsid w:val="00635E2B"/>
    <w:rsid w:val="00644919"/>
    <w:rsid w:val="006451BE"/>
    <w:rsid w:val="006556DF"/>
    <w:rsid w:val="00662AFD"/>
    <w:rsid w:val="006634A7"/>
    <w:rsid w:val="00664D95"/>
    <w:rsid w:val="0066679B"/>
    <w:rsid w:val="00672218"/>
    <w:rsid w:val="00681CAC"/>
    <w:rsid w:val="006937E5"/>
    <w:rsid w:val="00693A03"/>
    <w:rsid w:val="00694D04"/>
    <w:rsid w:val="00695D80"/>
    <w:rsid w:val="006A1F8B"/>
    <w:rsid w:val="006C1FF7"/>
    <w:rsid w:val="006C28A8"/>
    <w:rsid w:val="006C3FE3"/>
    <w:rsid w:val="006C4AB2"/>
    <w:rsid w:val="006E44D7"/>
    <w:rsid w:val="006E4ACE"/>
    <w:rsid w:val="007064EE"/>
    <w:rsid w:val="00706603"/>
    <w:rsid w:val="00721B79"/>
    <w:rsid w:val="00726B7B"/>
    <w:rsid w:val="00740A05"/>
    <w:rsid w:val="00746F54"/>
    <w:rsid w:val="00755240"/>
    <w:rsid w:val="007B00CE"/>
    <w:rsid w:val="0080139B"/>
    <w:rsid w:val="00807FCB"/>
    <w:rsid w:val="0081793D"/>
    <w:rsid w:val="00824DFD"/>
    <w:rsid w:val="00830D78"/>
    <w:rsid w:val="00883A22"/>
    <w:rsid w:val="008A2C8D"/>
    <w:rsid w:val="008A379E"/>
    <w:rsid w:val="008D1DE1"/>
    <w:rsid w:val="008D207F"/>
    <w:rsid w:val="008F1AB2"/>
    <w:rsid w:val="008F4710"/>
    <w:rsid w:val="00900607"/>
    <w:rsid w:val="00900B31"/>
    <w:rsid w:val="00912D54"/>
    <w:rsid w:val="00917C5E"/>
    <w:rsid w:val="00921CFE"/>
    <w:rsid w:val="00927973"/>
    <w:rsid w:val="00934107"/>
    <w:rsid w:val="00963C2B"/>
    <w:rsid w:val="00977945"/>
    <w:rsid w:val="00980E45"/>
    <w:rsid w:val="0099658C"/>
    <w:rsid w:val="009968D4"/>
    <w:rsid w:val="00996DA3"/>
    <w:rsid w:val="009A630F"/>
    <w:rsid w:val="009B6205"/>
    <w:rsid w:val="009D4A40"/>
    <w:rsid w:val="009E44D9"/>
    <w:rsid w:val="009E53C0"/>
    <w:rsid w:val="009E55FE"/>
    <w:rsid w:val="00A22DD6"/>
    <w:rsid w:val="00A236BD"/>
    <w:rsid w:val="00A2465B"/>
    <w:rsid w:val="00A30355"/>
    <w:rsid w:val="00A31FE8"/>
    <w:rsid w:val="00A33CC7"/>
    <w:rsid w:val="00A41C35"/>
    <w:rsid w:val="00A45145"/>
    <w:rsid w:val="00A52477"/>
    <w:rsid w:val="00A52BAF"/>
    <w:rsid w:val="00A52DB8"/>
    <w:rsid w:val="00A5394B"/>
    <w:rsid w:val="00A56092"/>
    <w:rsid w:val="00A56B1D"/>
    <w:rsid w:val="00A60912"/>
    <w:rsid w:val="00A737D1"/>
    <w:rsid w:val="00A7613F"/>
    <w:rsid w:val="00A81B1F"/>
    <w:rsid w:val="00A868C8"/>
    <w:rsid w:val="00A877B6"/>
    <w:rsid w:val="00A94AD6"/>
    <w:rsid w:val="00A95E4A"/>
    <w:rsid w:val="00AA0356"/>
    <w:rsid w:val="00AA6AB0"/>
    <w:rsid w:val="00AA721C"/>
    <w:rsid w:val="00AB333A"/>
    <w:rsid w:val="00AC0165"/>
    <w:rsid w:val="00AC0727"/>
    <w:rsid w:val="00AC6208"/>
    <w:rsid w:val="00AE23FA"/>
    <w:rsid w:val="00AE4551"/>
    <w:rsid w:val="00B05B56"/>
    <w:rsid w:val="00B24ED2"/>
    <w:rsid w:val="00B31741"/>
    <w:rsid w:val="00B40904"/>
    <w:rsid w:val="00B536BD"/>
    <w:rsid w:val="00B66693"/>
    <w:rsid w:val="00B845D4"/>
    <w:rsid w:val="00B91FAD"/>
    <w:rsid w:val="00B97D79"/>
    <w:rsid w:val="00BA35D7"/>
    <w:rsid w:val="00BA6A52"/>
    <w:rsid w:val="00BA719D"/>
    <w:rsid w:val="00BC40DD"/>
    <w:rsid w:val="00BD102D"/>
    <w:rsid w:val="00BD539D"/>
    <w:rsid w:val="00BF1165"/>
    <w:rsid w:val="00BF2623"/>
    <w:rsid w:val="00C05803"/>
    <w:rsid w:val="00C221E8"/>
    <w:rsid w:val="00C24375"/>
    <w:rsid w:val="00C279A5"/>
    <w:rsid w:val="00C37377"/>
    <w:rsid w:val="00C60A78"/>
    <w:rsid w:val="00C66C67"/>
    <w:rsid w:val="00C72AEC"/>
    <w:rsid w:val="00C82AC4"/>
    <w:rsid w:val="00C8661A"/>
    <w:rsid w:val="00C9712C"/>
    <w:rsid w:val="00CC2A24"/>
    <w:rsid w:val="00CC4491"/>
    <w:rsid w:val="00CE11F4"/>
    <w:rsid w:val="00CE7214"/>
    <w:rsid w:val="00CF40FF"/>
    <w:rsid w:val="00CF753C"/>
    <w:rsid w:val="00D02E44"/>
    <w:rsid w:val="00D0781E"/>
    <w:rsid w:val="00D11E81"/>
    <w:rsid w:val="00D164D5"/>
    <w:rsid w:val="00D17F25"/>
    <w:rsid w:val="00D371CD"/>
    <w:rsid w:val="00D74878"/>
    <w:rsid w:val="00D8741E"/>
    <w:rsid w:val="00D95942"/>
    <w:rsid w:val="00DB6F96"/>
    <w:rsid w:val="00DC4033"/>
    <w:rsid w:val="00DE7C42"/>
    <w:rsid w:val="00DF0FD7"/>
    <w:rsid w:val="00DF7DB6"/>
    <w:rsid w:val="00E043D5"/>
    <w:rsid w:val="00E25746"/>
    <w:rsid w:val="00E32F3A"/>
    <w:rsid w:val="00E410E4"/>
    <w:rsid w:val="00E42012"/>
    <w:rsid w:val="00E52441"/>
    <w:rsid w:val="00E5738B"/>
    <w:rsid w:val="00E60953"/>
    <w:rsid w:val="00E645D3"/>
    <w:rsid w:val="00E65AE2"/>
    <w:rsid w:val="00E74F4B"/>
    <w:rsid w:val="00E76E57"/>
    <w:rsid w:val="00E90F8E"/>
    <w:rsid w:val="00E920C6"/>
    <w:rsid w:val="00E94E10"/>
    <w:rsid w:val="00E95875"/>
    <w:rsid w:val="00E97BE0"/>
    <w:rsid w:val="00EB280A"/>
    <w:rsid w:val="00EB587C"/>
    <w:rsid w:val="00ED6A49"/>
    <w:rsid w:val="00EE1485"/>
    <w:rsid w:val="00EE6E87"/>
    <w:rsid w:val="00EF1CE5"/>
    <w:rsid w:val="00EF4859"/>
    <w:rsid w:val="00F05D8E"/>
    <w:rsid w:val="00F11CBD"/>
    <w:rsid w:val="00F14CF7"/>
    <w:rsid w:val="00F239C9"/>
    <w:rsid w:val="00F56B36"/>
    <w:rsid w:val="00F6348B"/>
    <w:rsid w:val="00F85DE6"/>
    <w:rsid w:val="00F93189"/>
    <w:rsid w:val="00F976CF"/>
    <w:rsid w:val="00FB1DA6"/>
    <w:rsid w:val="00FB7738"/>
    <w:rsid w:val="00FD342B"/>
    <w:rsid w:val="00FE0EF1"/>
    <w:rsid w:val="00FF3E24"/>
    <w:rsid w:val="00FF7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3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8F7"/>
    <w:pPr>
      <w:jc w:val="both"/>
    </w:pPr>
    <w:rPr>
      <w:rFonts w:eastAsia="MS Mincho"/>
      <w:sz w:val="24"/>
      <w:szCs w:val="24"/>
      <w:lang w:val="en-GB" w:eastAsia="en-US"/>
    </w:rPr>
  </w:style>
  <w:style w:type="paragraph" w:styleId="Nagwek1">
    <w:name w:val="heading 1"/>
    <w:basedOn w:val="Normalny"/>
    <w:next w:val="Normalny"/>
    <w:link w:val="Nagwek1Znak"/>
    <w:uiPriority w:val="99"/>
    <w:qFormat/>
    <w:rsid w:val="005758F7"/>
    <w:pPr>
      <w:spacing w:before="480"/>
      <w:outlineLvl w:val="0"/>
    </w:pPr>
    <w:rPr>
      <w:rFonts w:eastAsia="MS Gothic"/>
      <w:b/>
      <w:bCs/>
      <w:color w:val="333333"/>
      <w:sz w:val="28"/>
      <w:szCs w:val="28"/>
    </w:rPr>
  </w:style>
  <w:style w:type="paragraph" w:styleId="Nagwek2">
    <w:name w:val="heading 2"/>
    <w:basedOn w:val="Normalny"/>
    <w:next w:val="Normalny"/>
    <w:link w:val="Nagwek2Znak"/>
    <w:uiPriority w:val="99"/>
    <w:qFormat/>
    <w:rsid w:val="005758F7"/>
    <w:pPr>
      <w:spacing w:before="200"/>
      <w:outlineLvl w:val="1"/>
    </w:pPr>
    <w:rPr>
      <w:rFonts w:eastAsia="MS Gothic"/>
      <w:b/>
      <w:bCs/>
      <w:color w:val="4D4D4D"/>
      <w:sz w:val="26"/>
      <w:szCs w:val="26"/>
    </w:rPr>
  </w:style>
  <w:style w:type="paragraph" w:styleId="Nagwek3">
    <w:name w:val="heading 3"/>
    <w:basedOn w:val="Normalny"/>
    <w:next w:val="Normalny"/>
    <w:link w:val="Nagwek3Znak"/>
    <w:uiPriority w:val="99"/>
    <w:qFormat/>
    <w:rsid w:val="005758F7"/>
    <w:pPr>
      <w:spacing w:before="200" w:line="271" w:lineRule="auto"/>
      <w:outlineLvl w:val="2"/>
    </w:pPr>
    <w:rPr>
      <w:rFonts w:eastAsia="MS Gothic"/>
      <w:b/>
      <w:bCs/>
      <w:color w:val="5F5F5F"/>
    </w:rPr>
  </w:style>
  <w:style w:type="paragraph" w:styleId="Nagwek4">
    <w:name w:val="heading 4"/>
    <w:basedOn w:val="Normalny"/>
    <w:next w:val="Normalny"/>
    <w:link w:val="Nagwek4Znak"/>
    <w:uiPriority w:val="99"/>
    <w:qFormat/>
    <w:rsid w:val="005758F7"/>
    <w:pPr>
      <w:spacing w:before="200"/>
      <w:outlineLvl w:val="3"/>
    </w:pPr>
    <w:rPr>
      <w:rFonts w:eastAsia="MS Gothic"/>
      <w:b/>
      <w:bCs/>
      <w:i/>
      <w:iCs/>
      <w:color w:val="777777"/>
    </w:rPr>
  </w:style>
  <w:style w:type="paragraph" w:styleId="Nagwek5">
    <w:name w:val="heading 5"/>
    <w:basedOn w:val="Normalny"/>
    <w:next w:val="Normalny"/>
    <w:link w:val="Nagwek5Znak"/>
    <w:uiPriority w:val="99"/>
    <w:qFormat/>
    <w:rsid w:val="005758F7"/>
    <w:pPr>
      <w:spacing w:before="200"/>
      <w:outlineLvl w:val="4"/>
    </w:pPr>
    <w:rPr>
      <w:rFonts w:eastAsia="MS Gothic"/>
      <w:b/>
      <w:bCs/>
      <w:color w:val="808080"/>
      <w:sz w:val="22"/>
      <w:szCs w:val="22"/>
      <w:lang w:val="en-US"/>
    </w:rPr>
  </w:style>
  <w:style w:type="paragraph" w:styleId="Nagwek6">
    <w:name w:val="heading 6"/>
    <w:basedOn w:val="Normalny"/>
    <w:next w:val="Normalny"/>
    <w:link w:val="Nagwek6Znak"/>
    <w:uiPriority w:val="99"/>
    <w:qFormat/>
    <w:rsid w:val="005758F7"/>
    <w:pPr>
      <w:spacing w:line="271" w:lineRule="auto"/>
      <w:outlineLvl w:val="5"/>
    </w:pPr>
    <w:rPr>
      <w:rFonts w:eastAsia="MS Gothic"/>
      <w:b/>
      <w:bCs/>
      <w:i/>
      <w:iCs/>
      <w:color w:val="7F7F7F"/>
    </w:rPr>
  </w:style>
  <w:style w:type="paragraph" w:styleId="Nagwek7">
    <w:name w:val="heading 7"/>
    <w:basedOn w:val="Normalny"/>
    <w:next w:val="Normalny"/>
    <w:link w:val="Nagwek7Znak"/>
    <w:uiPriority w:val="99"/>
    <w:qFormat/>
    <w:rsid w:val="005758F7"/>
    <w:pPr>
      <w:outlineLvl w:val="6"/>
    </w:pPr>
    <w:rPr>
      <w:rFonts w:eastAsia="MS Gothic"/>
      <w:i/>
      <w:iCs/>
      <w:sz w:val="22"/>
      <w:szCs w:val="22"/>
      <w:lang w:val="en-US"/>
    </w:rPr>
  </w:style>
  <w:style w:type="paragraph" w:styleId="Nagwek8">
    <w:name w:val="heading 8"/>
    <w:basedOn w:val="Normalny"/>
    <w:next w:val="Normalny"/>
    <w:link w:val="Nagwek8Znak"/>
    <w:uiPriority w:val="99"/>
    <w:qFormat/>
    <w:rsid w:val="005758F7"/>
    <w:pPr>
      <w:outlineLvl w:val="7"/>
    </w:pPr>
    <w:rPr>
      <w:rFonts w:eastAsia="MS Gothic"/>
      <w:sz w:val="20"/>
      <w:szCs w:val="20"/>
      <w:lang w:val="en-US"/>
    </w:rPr>
  </w:style>
  <w:style w:type="paragraph" w:styleId="Nagwek9">
    <w:name w:val="heading 9"/>
    <w:basedOn w:val="Normalny"/>
    <w:next w:val="Normalny"/>
    <w:link w:val="Nagwek9Znak"/>
    <w:uiPriority w:val="99"/>
    <w:qFormat/>
    <w:rsid w:val="005758F7"/>
    <w:pPr>
      <w:outlineLvl w:val="8"/>
    </w:pPr>
    <w:rPr>
      <w:rFonts w:eastAsia="MS Gothic"/>
      <w:i/>
      <w:iCs/>
      <w:spacing w:val="5"/>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758F7"/>
    <w:rPr>
      <w:rFonts w:ascii="Times New Roman" w:eastAsia="MS Gothic" w:hAnsi="Times New Roman" w:cs="Times New Roman"/>
      <w:b/>
      <w:bCs/>
      <w:color w:val="333333"/>
      <w:sz w:val="28"/>
      <w:szCs w:val="28"/>
      <w:lang w:val="en-GB"/>
    </w:rPr>
  </w:style>
  <w:style w:type="character" w:customStyle="1" w:styleId="Nagwek2Znak">
    <w:name w:val="Nagłówek 2 Znak"/>
    <w:link w:val="Nagwek2"/>
    <w:uiPriority w:val="99"/>
    <w:locked/>
    <w:rsid w:val="005758F7"/>
    <w:rPr>
      <w:rFonts w:ascii="Times New Roman" w:eastAsia="MS Gothic" w:hAnsi="Times New Roman" w:cs="Times New Roman"/>
      <w:b/>
      <w:bCs/>
      <w:color w:val="4D4D4D"/>
      <w:sz w:val="26"/>
      <w:szCs w:val="26"/>
      <w:lang w:val="en-GB"/>
    </w:rPr>
  </w:style>
  <w:style w:type="character" w:customStyle="1" w:styleId="Nagwek3Znak">
    <w:name w:val="Nagłówek 3 Znak"/>
    <w:link w:val="Nagwek3"/>
    <w:uiPriority w:val="99"/>
    <w:locked/>
    <w:rsid w:val="005758F7"/>
    <w:rPr>
      <w:rFonts w:ascii="Times New Roman" w:eastAsia="MS Gothic" w:hAnsi="Times New Roman" w:cs="Times New Roman"/>
      <w:b/>
      <w:bCs/>
      <w:color w:val="5F5F5F"/>
      <w:sz w:val="24"/>
      <w:szCs w:val="24"/>
      <w:lang w:val="en-GB"/>
    </w:rPr>
  </w:style>
  <w:style w:type="character" w:customStyle="1" w:styleId="Nagwek4Znak">
    <w:name w:val="Nagłówek 4 Znak"/>
    <w:link w:val="Nagwek4"/>
    <w:uiPriority w:val="99"/>
    <w:locked/>
    <w:rsid w:val="005758F7"/>
    <w:rPr>
      <w:rFonts w:ascii="Times New Roman" w:eastAsia="MS Gothic" w:hAnsi="Times New Roman" w:cs="Times New Roman"/>
      <w:b/>
      <w:bCs/>
      <w:i/>
      <w:iCs/>
      <w:color w:val="777777"/>
      <w:sz w:val="24"/>
      <w:szCs w:val="24"/>
      <w:lang w:val="en-GB"/>
    </w:rPr>
  </w:style>
  <w:style w:type="character" w:customStyle="1" w:styleId="Nagwek5Znak">
    <w:name w:val="Nagłówek 5 Znak"/>
    <w:link w:val="Nagwek5"/>
    <w:uiPriority w:val="99"/>
    <w:semiHidden/>
    <w:locked/>
    <w:rsid w:val="005758F7"/>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5758F7"/>
    <w:rPr>
      <w:rFonts w:ascii="Times New Roman" w:eastAsia="MS Gothic" w:hAnsi="Times New Roman" w:cs="Times New Roman"/>
      <w:b/>
      <w:bCs/>
      <w:i/>
      <w:iCs/>
      <w:color w:val="7F7F7F"/>
      <w:sz w:val="24"/>
      <w:szCs w:val="24"/>
      <w:lang w:val="en-GB"/>
    </w:rPr>
  </w:style>
  <w:style w:type="character" w:customStyle="1" w:styleId="Nagwek7Znak">
    <w:name w:val="Nagłówek 7 Znak"/>
    <w:link w:val="Nagwek7"/>
    <w:uiPriority w:val="99"/>
    <w:semiHidden/>
    <w:locked/>
    <w:rsid w:val="005758F7"/>
    <w:rPr>
      <w:rFonts w:ascii="Times New Roman" w:eastAsia="MS Gothic" w:hAnsi="Times New Roman" w:cs="Times New Roman"/>
      <w:i/>
      <w:iCs/>
    </w:rPr>
  </w:style>
  <w:style w:type="character" w:customStyle="1" w:styleId="Nagwek8Znak">
    <w:name w:val="Nagłówek 8 Znak"/>
    <w:link w:val="Nagwek8"/>
    <w:uiPriority w:val="99"/>
    <w:semiHidden/>
    <w:locked/>
    <w:rsid w:val="005758F7"/>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5758F7"/>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5758F7"/>
    <w:rPr>
      <w:rFonts w:ascii="Tahoma" w:hAnsi="Tahoma" w:cs="Tahoma"/>
      <w:sz w:val="16"/>
      <w:szCs w:val="16"/>
    </w:rPr>
  </w:style>
  <w:style w:type="character" w:customStyle="1" w:styleId="TekstdymkaZnak">
    <w:name w:val="Tekst dymka Znak"/>
    <w:link w:val="Tekstdymka"/>
    <w:uiPriority w:val="99"/>
    <w:semiHidden/>
    <w:locked/>
    <w:rsid w:val="005758F7"/>
    <w:rPr>
      <w:rFonts w:ascii="Tahoma" w:eastAsia="MS Mincho" w:hAnsi="Tahoma" w:cs="Tahoma"/>
      <w:sz w:val="16"/>
      <w:szCs w:val="16"/>
      <w:lang w:val="en-GB"/>
    </w:rPr>
  </w:style>
  <w:style w:type="character" w:styleId="Tytuksiki">
    <w:name w:val="Book Title"/>
    <w:uiPriority w:val="99"/>
    <w:qFormat/>
    <w:rsid w:val="005758F7"/>
    <w:rPr>
      <w:i/>
      <w:iCs/>
      <w:smallCaps/>
      <w:spacing w:val="5"/>
    </w:rPr>
  </w:style>
  <w:style w:type="paragraph" w:customStyle="1" w:styleId="ECHRHeader">
    <w:name w:val="ECHR_Header"/>
    <w:aliases w:val="Ju_Header"/>
    <w:basedOn w:val="Nagwek"/>
    <w:uiPriority w:val="99"/>
    <w:rsid w:val="005758F7"/>
    <w:pPr>
      <w:tabs>
        <w:tab w:val="clear" w:pos="4536"/>
        <w:tab w:val="clear" w:pos="9072"/>
        <w:tab w:val="center" w:pos="3686"/>
        <w:tab w:val="right" w:pos="7371"/>
      </w:tabs>
      <w:jc w:val="left"/>
    </w:pPr>
    <w:rPr>
      <w:sz w:val="18"/>
      <w:szCs w:val="18"/>
    </w:rPr>
  </w:style>
  <w:style w:type="paragraph" w:customStyle="1" w:styleId="OpiPara">
    <w:name w:val="Opi_Para"/>
    <w:basedOn w:val="ECHRPara"/>
    <w:uiPriority w:val="99"/>
    <w:rsid w:val="005758F7"/>
  </w:style>
  <w:style w:type="character" w:styleId="Pogrubienie">
    <w:name w:val="Strong"/>
    <w:uiPriority w:val="99"/>
    <w:qFormat/>
    <w:rsid w:val="005758F7"/>
    <w:rPr>
      <w:b/>
      <w:bCs/>
    </w:rPr>
  </w:style>
  <w:style w:type="paragraph" w:styleId="Bezodstpw">
    <w:name w:val="No Spacing"/>
    <w:basedOn w:val="Normalny"/>
    <w:link w:val="BezodstpwZnak"/>
    <w:uiPriority w:val="99"/>
    <w:qFormat/>
    <w:rsid w:val="005758F7"/>
    <w:rPr>
      <w:sz w:val="22"/>
      <w:szCs w:val="22"/>
      <w:lang w:val="en-US"/>
    </w:rPr>
  </w:style>
  <w:style w:type="character" w:customStyle="1" w:styleId="BezodstpwZnak">
    <w:name w:val="Bez odstępów Znak"/>
    <w:link w:val="Bezodstpw"/>
    <w:uiPriority w:val="99"/>
    <w:locked/>
    <w:rsid w:val="005758F7"/>
    <w:rPr>
      <w:rFonts w:eastAsia="MS Mincho"/>
    </w:rPr>
  </w:style>
  <w:style w:type="paragraph" w:customStyle="1" w:styleId="ECHRParaQuote">
    <w:name w:val="ECHR_Para_Quote"/>
    <w:aliases w:val="Ju_Quot"/>
    <w:basedOn w:val="Normalny"/>
    <w:link w:val="JuQuotChar"/>
    <w:uiPriority w:val="99"/>
    <w:rsid w:val="005758F7"/>
    <w:pPr>
      <w:spacing w:before="120" w:after="120"/>
      <w:ind w:left="425" w:firstLine="142"/>
    </w:pPr>
    <w:rPr>
      <w:sz w:val="20"/>
      <w:szCs w:val="20"/>
    </w:rPr>
  </w:style>
  <w:style w:type="paragraph" w:customStyle="1" w:styleId="JuParaSub">
    <w:name w:val="Ju_Para_Sub"/>
    <w:basedOn w:val="ECHRPara"/>
    <w:uiPriority w:val="99"/>
    <w:rsid w:val="005758F7"/>
    <w:pPr>
      <w:ind w:left="284"/>
    </w:pPr>
  </w:style>
  <w:style w:type="paragraph" w:customStyle="1" w:styleId="OpiParaSub">
    <w:name w:val="Opi_Para_Sub"/>
    <w:basedOn w:val="JuParaSub"/>
    <w:uiPriority w:val="99"/>
    <w:rsid w:val="005758F7"/>
  </w:style>
  <w:style w:type="paragraph" w:customStyle="1" w:styleId="OpiQuot">
    <w:name w:val="Opi_Quot"/>
    <w:basedOn w:val="ECHRParaQuote"/>
    <w:uiPriority w:val="99"/>
    <w:rsid w:val="005758F7"/>
  </w:style>
  <w:style w:type="paragraph" w:customStyle="1" w:styleId="DummyStyle">
    <w:name w:val="Dummy_Style"/>
    <w:basedOn w:val="Normalny"/>
    <w:uiPriority w:val="99"/>
    <w:semiHidden/>
    <w:rsid w:val="005758F7"/>
    <w:rPr>
      <w:color w:val="00B050"/>
    </w:rPr>
  </w:style>
  <w:style w:type="paragraph" w:customStyle="1" w:styleId="ECHRTitleCentre3">
    <w:name w:val="ECHR_Title_Centre_3"/>
    <w:aliases w:val="Ju_H_Article"/>
    <w:basedOn w:val="Normalny"/>
    <w:next w:val="ECHRParaQuote"/>
    <w:uiPriority w:val="99"/>
    <w:rsid w:val="005758F7"/>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5758F7"/>
    <w:pPr>
      <w:keepNext/>
      <w:keepLines/>
      <w:spacing w:after="240"/>
      <w:jc w:val="center"/>
      <w:outlineLvl w:val="0"/>
    </w:pPr>
    <w:rPr>
      <w:sz w:val="28"/>
      <w:szCs w:val="28"/>
    </w:rPr>
  </w:style>
  <w:style w:type="paragraph" w:customStyle="1" w:styleId="JuQuotSub">
    <w:name w:val="Ju_Quot_Sub"/>
    <w:basedOn w:val="ECHRParaQuote"/>
    <w:uiPriority w:val="99"/>
    <w:rsid w:val="005758F7"/>
    <w:pPr>
      <w:ind w:left="567"/>
    </w:pPr>
  </w:style>
  <w:style w:type="paragraph" w:customStyle="1" w:styleId="ECHRTitle1">
    <w:name w:val="ECHR_Title_1"/>
    <w:aliases w:val="Ju_H_Head"/>
    <w:basedOn w:val="Normalny"/>
    <w:next w:val="ECHRPara"/>
    <w:uiPriority w:val="99"/>
    <w:rsid w:val="005758F7"/>
    <w:pPr>
      <w:keepNext/>
      <w:keepLines/>
      <w:spacing w:before="720" w:after="240"/>
      <w:outlineLvl w:val="0"/>
    </w:pPr>
    <w:rPr>
      <w:sz w:val="28"/>
      <w:szCs w:val="28"/>
    </w:rPr>
  </w:style>
  <w:style w:type="paragraph" w:customStyle="1" w:styleId="JuInitialled">
    <w:name w:val="Ju_Initialled"/>
    <w:basedOn w:val="Normalny"/>
    <w:uiPriority w:val="99"/>
    <w:rsid w:val="005758F7"/>
    <w:pPr>
      <w:tabs>
        <w:tab w:val="center" w:pos="6407"/>
      </w:tabs>
      <w:spacing w:before="720"/>
      <w:jc w:val="right"/>
    </w:pPr>
  </w:style>
  <w:style w:type="paragraph" w:customStyle="1" w:styleId="JuSigned">
    <w:name w:val="Ju_Signed"/>
    <w:basedOn w:val="Normalny"/>
    <w:next w:val="JuParaLast"/>
    <w:uiPriority w:val="99"/>
    <w:rsid w:val="005758F7"/>
    <w:pPr>
      <w:tabs>
        <w:tab w:val="center" w:pos="851"/>
        <w:tab w:val="center" w:pos="6407"/>
      </w:tabs>
      <w:spacing w:before="720"/>
      <w:jc w:val="left"/>
    </w:pPr>
  </w:style>
  <w:style w:type="paragraph" w:styleId="Tytu">
    <w:name w:val="Title"/>
    <w:basedOn w:val="Normalny"/>
    <w:next w:val="Normalny"/>
    <w:link w:val="TytuZnak"/>
    <w:uiPriority w:val="99"/>
    <w:qFormat/>
    <w:rsid w:val="005758F7"/>
    <w:pPr>
      <w:pBdr>
        <w:bottom w:val="single" w:sz="4" w:space="1" w:color="auto"/>
      </w:pBdr>
    </w:pPr>
    <w:rPr>
      <w:rFonts w:eastAsia="MS Gothic"/>
      <w:spacing w:val="5"/>
      <w:sz w:val="52"/>
      <w:szCs w:val="52"/>
      <w:lang w:val="en-US"/>
    </w:rPr>
  </w:style>
  <w:style w:type="character" w:customStyle="1" w:styleId="TytuZnak">
    <w:name w:val="Tytuł Znak"/>
    <w:link w:val="Tytu"/>
    <w:uiPriority w:val="99"/>
    <w:locked/>
    <w:rsid w:val="005758F7"/>
    <w:rPr>
      <w:rFonts w:ascii="Times New Roman" w:eastAsia="MS Gothic" w:hAnsi="Times New Roman" w:cs="Times New Roman"/>
      <w:spacing w:val="5"/>
      <w:sz w:val="52"/>
      <w:szCs w:val="52"/>
    </w:rPr>
  </w:style>
  <w:style w:type="paragraph" w:customStyle="1" w:styleId="OpiHA">
    <w:name w:val="Opi_H_A"/>
    <w:basedOn w:val="ECHRHeading1"/>
    <w:next w:val="OpiPara"/>
    <w:uiPriority w:val="99"/>
    <w:rsid w:val="005758F7"/>
    <w:pPr>
      <w:tabs>
        <w:tab w:val="clear" w:pos="357"/>
      </w:tabs>
      <w:outlineLvl w:val="1"/>
    </w:pPr>
    <w:rPr>
      <w:b/>
      <w:bCs/>
    </w:rPr>
  </w:style>
  <w:style w:type="character" w:customStyle="1" w:styleId="JUNAMES">
    <w:name w:val="JU_NAMES"/>
    <w:uiPriority w:val="99"/>
    <w:rsid w:val="005758F7"/>
    <w:rPr>
      <w:smallCaps/>
    </w:rPr>
  </w:style>
  <w:style w:type="character" w:customStyle="1" w:styleId="JuITMark">
    <w:name w:val="Ju_ITMark"/>
    <w:uiPriority w:val="99"/>
    <w:rsid w:val="005758F7"/>
    <w:rPr>
      <w:color w:val="auto"/>
      <w:sz w:val="14"/>
      <w:szCs w:val="14"/>
      <w:shd w:val="clear" w:color="auto" w:fill="BEE5FF"/>
    </w:rPr>
  </w:style>
  <w:style w:type="paragraph" w:customStyle="1" w:styleId="OpiTranslation">
    <w:name w:val="Opi_Translation"/>
    <w:basedOn w:val="Normalny"/>
    <w:next w:val="OpiPara"/>
    <w:uiPriority w:val="99"/>
    <w:rsid w:val="005758F7"/>
    <w:pPr>
      <w:jc w:val="center"/>
      <w:outlineLvl w:val="0"/>
    </w:pPr>
    <w:rPr>
      <w:i/>
      <w:iCs/>
    </w:rPr>
  </w:style>
  <w:style w:type="paragraph" w:customStyle="1" w:styleId="JuCourt">
    <w:name w:val="Ju_Court"/>
    <w:basedOn w:val="Normalny"/>
    <w:next w:val="Normalny"/>
    <w:uiPriority w:val="99"/>
    <w:rsid w:val="005758F7"/>
    <w:pPr>
      <w:tabs>
        <w:tab w:val="left" w:pos="907"/>
        <w:tab w:val="left" w:pos="1701"/>
        <w:tab w:val="right" w:pos="7371"/>
      </w:tabs>
      <w:spacing w:before="240"/>
      <w:ind w:left="397" w:hanging="397"/>
      <w:jc w:val="left"/>
    </w:pPr>
  </w:style>
  <w:style w:type="paragraph" w:customStyle="1" w:styleId="ECHRHeading1">
    <w:name w:val="ECHR_Heading_1"/>
    <w:aliases w:val="Ju_H_I_Roman"/>
    <w:basedOn w:val="Nagwek1"/>
    <w:next w:val="ECHRPara"/>
    <w:uiPriority w:val="99"/>
    <w:rsid w:val="005758F7"/>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5758F7"/>
    <w:pPr>
      <w:keepNext/>
      <w:keepLines/>
      <w:tabs>
        <w:tab w:val="left" w:pos="584"/>
      </w:tabs>
      <w:spacing w:before="360" w:after="240"/>
      <w:ind w:left="584" w:hanging="352"/>
    </w:pPr>
    <w:rPr>
      <w:color w:val="auto"/>
      <w:sz w:val="24"/>
      <w:szCs w:val="24"/>
    </w:rPr>
  </w:style>
  <w:style w:type="paragraph" w:customStyle="1" w:styleId="ECHRHeading3">
    <w:name w:val="ECHR_Heading_3"/>
    <w:aliases w:val="Ju_H_1."/>
    <w:basedOn w:val="Nagwek3"/>
    <w:next w:val="ECHRPara"/>
    <w:uiPriority w:val="99"/>
    <w:rsid w:val="005758F7"/>
    <w:pPr>
      <w:keepNext/>
      <w:keepLines/>
      <w:tabs>
        <w:tab w:val="left" w:pos="731"/>
      </w:tabs>
      <w:spacing w:before="240" w:after="120" w:line="240" w:lineRule="auto"/>
      <w:ind w:left="732" w:hanging="301"/>
    </w:pPr>
    <w:rPr>
      <w:b w:val="0"/>
      <w:bCs w:val="0"/>
      <w:i/>
      <w:iCs/>
      <w:color w:val="auto"/>
    </w:rPr>
  </w:style>
  <w:style w:type="paragraph" w:styleId="Nagwek">
    <w:name w:val="header"/>
    <w:basedOn w:val="Normalny"/>
    <w:link w:val="NagwekZnak"/>
    <w:uiPriority w:val="99"/>
    <w:semiHidden/>
    <w:rsid w:val="005758F7"/>
    <w:pPr>
      <w:tabs>
        <w:tab w:val="center" w:pos="4536"/>
        <w:tab w:val="right" w:pos="9072"/>
      </w:tabs>
    </w:pPr>
    <w:rPr>
      <w:rFonts w:eastAsia="Times New Roman"/>
    </w:rPr>
  </w:style>
  <w:style w:type="character" w:customStyle="1" w:styleId="NagwekZnak">
    <w:name w:val="Nagłówek Znak"/>
    <w:link w:val="Nagwek"/>
    <w:uiPriority w:val="99"/>
    <w:locked/>
    <w:rsid w:val="005758F7"/>
    <w:rPr>
      <w:sz w:val="24"/>
      <w:szCs w:val="24"/>
      <w:lang w:val="en-GB"/>
    </w:rPr>
  </w:style>
  <w:style w:type="paragraph" w:customStyle="1" w:styleId="ECHRHeading4">
    <w:name w:val="ECHR_Heading_4"/>
    <w:aliases w:val="Ju_H_a"/>
    <w:basedOn w:val="Nagwek4"/>
    <w:next w:val="ECHRPara"/>
    <w:uiPriority w:val="99"/>
    <w:rsid w:val="005758F7"/>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5758F7"/>
    <w:pPr>
      <w:keepNext/>
      <w:keepLines/>
      <w:tabs>
        <w:tab w:val="left" w:pos="1191"/>
      </w:tabs>
      <w:spacing w:before="240" w:after="120"/>
      <w:ind w:left="1190" w:hanging="357"/>
    </w:pPr>
    <w:rPr>
      <w:b w:val="0"/>
      <w:bCs w:val="0"/>
      <w:i/>
      <w:iCs/>
      <w:color w:val="auto"/>
      <w:sz w:val="20"/>
      <w:szCs w:val="20"/>
      <w:lang w:val="en-GB"/>
    </w:rPr>
  </w:style>
  <w:style w:type="paragraph" w:customStyle="1" w:styleId="ECHRHeading6">
    <w:name w:val="ECHR_Heading_6"/>
    <w:aliases w:val="Ju_H_alpha"/>
    <w:basedOn w:val="Nagwek6"/>
    <w:next w:val="ECHRPara"/>
    <w:uiPriority w:val="99"/>
    <w:rsid w:val="005758F7"/>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5758F7"/>
    <w:pPr>
      <w:keepNext/>
      <w:keepLines/>
      <w:spacing w:before="240" w:after="120"/>
      <w:ind w:left="1236"/>
    </w:pPr>
    <w:rPr>
      <w:sz w:val="20"/>
      <w:szCs w:val="20"/>
      <w:lang w:val="en-GB"/>
    </w:rPr>
  </w:style>
  <w:style w:type="paragraph" w:customStyle="1" w:styleId="JuParaLast">
    <w:name w:val="Ju_Para_Last"/>
    <w:basedOn w:val="Normalny"/>
    <w:next w:val="ECHRPara"/>
    <w:uiPriority w:val="99"/>
    <w:rsid w:val="005758F7"/>
    <w:pPr>
      <w:keepNext/>
      <w:keepLines/>
      <w:spacing w:before="240"/>
      <w:ind w:firstLine="284"/>
    </w:pPr>
  </w:style>
  <w:style w:type="paragraph" w:customStyle="1" w:styleId="ECHRDecisionBody">
    <w:name w:val="ECHR_Decision_Body"/>
    <w:aliases w:val="Ju_Judges"/>
    <w:basedOn w:val="Normalny"/>
    <w:uiPriority w:val="99"/>
    <w:rsid w:val="005758F7"/>
    <w:pPr>
      <w:tabs>
        <w:tab w:val="left" w:pos="567"/>
        <w:tab w:val="left" w:pos="1134"/>
      </w:tabs>
      <w:jc w:val="left"/>
    </w:pPr>
  </w:style>
  <w:style w:type="paragraph" w:customStyle="1" w:styleId="JuList">
    <w:name w:val="Ju_List"/>
    <w:basedOn w:val="Normalny"/>
    <w:uiPriority w:val="99"/>
    <w:rsid w:val="005758F7"/>
    <w:pPr>
      <w:ind w:left="340" w:hanging="340"/>
    </w:pPr>
  </w:style>
  <w:style w:type="paragraph" w:customStyle="1" w:styleId="JuLista">
    <w:name w:val="Ju_List_a"/>
    <w:basedOn w:val="JuList"/>
    <w:uiPriority w:val="99"/>
    <w:rsid w:val="005758F7"/>
    <w:pPr>
      <w:ind w:left="346" w:firstLine="0"/>
    </w:pPr>
  </w:style>
  <w:style w:type="paragraph" w:customStyle="1" w:styleId="JuListi">
    <w:name w:val="Ju_List_i"/>
    <w:basedOn w:val="Normalny"/>
    <w:next w:val="JuLista"/>
    <w:uiPriority w:val="99"/>
    <w:rsid w:val="005758F7"/>
    <w:pPr>
      <w:ind w:left="794"/>
    </w:pPr>
  </w:style>
  <w:style w:type="character" w:styleId="Wyrnieniedelikatne">
    <w:name w:val="Subtle Emphasis"/>
    <w:uiPriority w:val="99"/>
    <w:qFormat/>
    <w:rsid w:val="005758F7"/>
    <w:rPr>
      <w:i/>
      <w:iCs/>
    </w:rPr>
  </w:style>
  <w:style w:type="paragraph" w:customStyle="1" w:styleId="OpiH1">
    <w:name w:val="Opi_H_1"/>
    <w:basedOn w:val="ECHRHeading2"/>
    <w:uiPriority w:val="99"/>
    <w:rsid w:val="005758F7"/>
    <w:pPr>
      <w:ind w:left="635" w:hanging="357"/>
      <w:outlineLvl w:val="2"/>
    </w:pPr>
  </w:style>
  <w:style w:type="table" w:customStyle="1" w:styleId="ECHRTable">
    <w:name w:val="ECHR_Table"/>
    <w:uiPriority w:val="99"/>
    <w:rsid w:val="00CC2A24"/>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CC2A24"/>
    <w:rPr>
      <w:rFonts w:ascii="Verdana" w:hAnsi="Verdana" w:cs="Verdana"/>
      <w:lang w:val="en-GB"/>
    </w:rPr>
    <w:tblPr>
      <w:tblCellMar>
        <w:top w:w="57" w:type="dxa"/>
        <w:left w:w="57" w:type="dxa"/>
        <w:bottom w:w="57" w:type="dxa"/>
        <w:right w:w="57" w:type="dxa"/>
      </w:tblCellMar>
    </w:tblPr>
    <w:tcPr>
      <w:shd w:val="clear" w:color="auto" w:fill="F8F8F8"/>
    </w:tcPr>
  </w:style>
  <w:style w:type="paragraph" w:customStyle="1" w:styleId="OpiHa0">
    <w:name w:val="Opi_H_a"/>
    <w:basedOn w:val="ECHRHeading3"/>
    <w:uiPriority w:val="99"/>
    <w:rsid w:val="005758F7"/>
    <w:pPr>
      <w:ind w:left="833" w:hanging="357"/>
      <w:outlineLvl w:val="3"/>
    </w:pPr>
    <w:rPr>
      <w:b/>
      <w:bCs/>
      <w:i w:val="0"/>
      <w:iCs w:val="0"/>
      <w:sz w:val="20"/>
      <w:szCs w:val="20"/>
    </w:rPr>
  </w:style>
  <w:style w:type="paragraph" w:customStyle="1" w:styleId="OpiHi">
    <w:name w:val="Opi_H_i"/>
    <w:basedOn w:val="ECHRHeading4"/>
    <w:uiPriority w:val="99"/>
    <w:rsid w:val="005758F7"/>
    <w:pPr>
      <w:ind w:left="1037" w:hanging="357"/>
      <w:outlineLvl w:val="4"/>
    </w:pPr>
    <w:rPr>
      <w:b w:val="0"/>
      <w:bCs w:val="0"/>
      <w:i/>
      <w:iCs/>
    </w:rPr>
  </w:style>
  <w:style w:type="paragraph" w:customStyle="1" w:styleId="OpiQuotSub">
    <w:name w:val="Opi_Quot_Sub"/>
    <w:basedOn w:val="JuQuotSub"/>
    <w:uiPriority w:val="99"/>
    <w:rsid w:val="005758F7"/>
  </w:style>
  <w:style w:type="character" w:styleId="Uwydatnienie">
    <w:name w:val="Emphasis"/>
    <w:uiPriority w:val="99"/>
    <w:qFormat/>
    <w:rsid w:val="005758F7"/>
    <w:rPr>
      <w:b/>
      <w:bCs/>
      <w:i/>
      <w:iCs/>
      <w:spacing w:val="10"/>
      <w:shd w:val="clear" w:color="auto" w:fill="auto"/>
    </w:rPr>
  </w:style>
  <w:style w:type="paragraph" w:styleId="Stopka">
    <w:name w:val="footer"/>
    <w:basedOn w:val="Normalny"/>
    <w:link w:val="StopkaZnak"/>
    <w:uiPriority w:val="99"/>
    <w:semiHidden/>
    <w:rsid w:val="005758F7"/>
    <w:pPr>
      <w:tabs>
        <w:tab w:val="center" w:pos="4536"/>
        <w:tab w:val="right" w:pos="9696"/>
      </w:tabs>
      <w:ind w:left="-680" w:right="-680"/>
    </w:pPr>
    <w:rPr>
      <w:rFonts w:eastAsia="Times New Roman"/>
    </w:rPr>
  </w:style>
  <w:style w:type="character" w:customStyle="1" w:styleId="StopkaZnak">
    <w:name w:val="Stopka Znak"/>
    <w:link w:val="Stopka"/>
    <w:uiPriority w:val="99"/>
    <w:locked/>
    <w:rsid w:val="005758F7"/>
    <w:rPr>
      <w:sz w:val="24"/>
      <w:szCs w:val="24"/>
      <w:lang w:val="en-GB"/>
    </w:rPr>
  </w:style>
  <w:style w:type="character" w:styleId="Odwoanieprzypisudolnego">
    <w:name w:val="footnote reference"/>
    <w:uiPriority w:val="99"/>
    <w:semiHidden/>
    <w:rsid w:val="005758F7"/>
    <w:rPr>
      <w:vertAlign w:val="superscript"/>
    </w:rPr>
  </w:style>
  <w:style w:type="paragraph" w:styleId="Tekstprzypisudolnego">
    <w:name w:val="footnote text"/>
    <w:basedOn w:val="Normalny"/>
    <w:link w:val="TekstprzypisudolnegoZnak"/>
    <w:uiPriority w:val="99"/>
    <w:semiHidden/>
    <w:rsid w:val="005758F7"/>
    <w:rPr>
      <w:sz w:val="20"/>
      <w:szCs w:val="20"/>
    </w:rPr>
  </w:style>
  <w:style w:type="character" w:customStyle="1" w:styleId="TekstprzypisudolnegoZnak">
    <w:name w:val="Tekst przypisu dolnego Znak"/>
    <w:link w:val="Tekstprzypisudolnego"/>
    <w:uiPriority w:val="99"/>
    <w:locked/>
    <w:rsid w:val="005758F7"/>
    <w:rPr>
      <w:rFonts w:eastAsia="MS Mincho"/>
      <w:sz w:val="20"/>
      <w:szCs w:val="20"/>
      <w:lang w:val="en-GB"/>
    </w:rPr>
  </w:style>
  <w:style w:type="character" w:styleId="Hipercze">
    <w:name w:val="Hyperlink"/>
    <w:uiPriority w:val="99"/>
    <w:semiHidden/>
    <w:rsid w:val="005758F7"/>
    <w:rPr>
      <w:color w:val="0072BC"/>
      <w:u w:val="single"/>
    </w:rPr>
  </w:style>
  <w:style w:type="character" w:styleId="Wyrnienieintensywne">
    <w:name w:val="Intense Emphasis"/>
    <w:uiPriority w:val="99"/>
    <w:qFormat/>
    <w:rsid w:val="005758F7"/>
    <w:rPr>
      <w:b/>
      <w:bCs/>
    </w:rPr>
  </w:style>
  <w:style w:type="paragraph" w:styleId="Cytatintensywny">
    <w:name w:val="Intense Quote"/>
    <w:basedOn w:val="Normalny"/>
    <w:next w:val="Normalny"/>
    <w:link w:val="CytatintensywnyZnak"/>
    <w:uiPriority w:val="99"/>
    <w:qFormat/>
    <w:rsid w:val="005758F7"/>
    <w:pPr>
      <w:pBdr>
        <w:bottom w:val="single" w:sz="4" w:space="1" w:color="auto"/>
      </w:pBdr>
      <w:spacing w:before="200" w:after="280"/>
      <w:ind w:left="1008" w:right="1152"/>
    </w:pPr>
    <w:rPr>
      <w:b/>
      <w:bCs/>
      <w:i/>
      <w:iCs/>
      <w:sz w:val="22"/>
      <w:szCs w:val="22"/>
      <w:lang w:val="en-US"/>
    </w:rPr>
  </w:style>
  <w:style w:type="character" w:customStyle="1" w:styleId="CytatintensywnyZnak">
    <w:name w:val="Cytat intensywny Znak"/>
    <w:link w:val="Cytatintensywny"/>
    <w:uiPriority w:val="99"/>
    <w:locked/>
    <w:rsid w:val="005758F7"/>
    <w:rPr>
      <w:rFonts w:eastAsia="MS Mincho"/>
      <w:b/>
      <w:bCs/>
      <w:i/>
      <w:iCs/>
    </w:rPr>
  </w:style>
  <w:style w:type="character" w:styleId="Odwoanieintensywne">
    <w:name w:val="Intense Reference"/>
    <w:uiPriority w:val="99"/>
    <w:qFormat/>
    <w:rsid w:val="005758F7"/>
    <w:rPr>
      <w:smallCaps/>
      <w:spacing w:val="5"/>
      <w:u w:val="single"/>
    </w:rPr>
  </w:style>
  <w:style w:type="paragraph" w:styleId="Akapitzlist">
    <w:name w:val="List Paragraph"/>
    <w:basedOn w:val="Normalny"/>
    <w:uiPriority w:val="99"/>
    <w:qFormat/>
    <w:rsid w:val="005758F7"/>
    <w:pPr>
      <w:ind w:left="720"/>
    </w:pPr>
  </w:style>
  <w:style w:type="table" w:customStyle="1" w:styleId="LtrTableAddress">
    <w:name w:val="Ltr_Table_Address"/>
    <w:uiPriority w:val="99"/>
    <w:rsid w:val="00CC2A24"/>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5758F7"/>
    <w:pPr>
      <w:spacing w:before="200"/>
      <w:ind w:left="360" w:right="360"/>
    </w:pPr>
    <w:rPr>
      <w:i/>
      <w:iCs/>
      <w:sz w:val="22"/>
      <w:szCs w:val="22"/>
      <w:lang w:val="en-US"/>
    </w:rPr>
  </w:style>
  <w:style w:type="character" w:customStyle="1" w:styleId="CytatZnak">
    <w:name w:val="Cytat Znak"/>
    <w:link w:val="Cytat"/>
    <w:uiPriority w:val="99"/>
    <w:locked/>
    <w:rsid w:val="005758F7"/>
    <w:rPr>
      <w:rFonts w:eastAsia="MS Mincho"/>
      <w:i/>
      <w:iCs/>
    </w:rPr>
  </w:style>
  <w:style w:type="character" w:styleId="Odwoaniedelikatne">
    <w:name w:val="Subtle Reference"/>
    <w:uiPriority w:val="99"/>
    <w:qFormat/>
    <w:rsid w:val="005758F7"/>
    <w:rPr>
      <w:smallCaps/>
    </w:rPr>
  </w:style>
  <w:style w:type="table" w:styleId="Tabela-Siatka">
    <w:name w:val="Table Grid"/>
    <w:basedOn w:val="Standardowy"/>
    <w:uiPriority w:val="99"/>
    <w:semiHidden/>
    <w:rsid w:val="005758F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5758F7"/>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5758F7"/>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5758F7"/>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5758F7"/>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5758F7"/>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5758F7"/>
    <w:pPr>
      <w:keepNext/>
      <w:keepLines/>
      <w:spacing w:before="240"/>
      <w:jc w:val="center"/>
    </w:pPr>
    <w:rPr>
      <w:rFonts w:eastAsia="Times New Roman"/>
      <w:b/>
      <w:bCs/>
      <w:color w:val="474747"/>
      <w:sz w:val="28"/>
      <w:szCs w:val="28"/>
    </w:rPr>
  </w:style>
  <w:style w:type="table" w:customStyle="1" w:styleId="UGTable">
    <w:name w:val="UG_Table"/>
    <w:uiPriority w:val="99"/>
    <w:rsid w:val="00CC2A24"/>
    <w:rPr>
      <w:rFonts w:eastAsia="MS Mincho"/>
      <w:lang w:val="en-GB" w:eastAsia="en-GB"/>
    </w:rPr>
    <w:tblPr>
      <w:tblCellMar>
        <w:top w:w="0" w:type="dxa"/>
        <w:left w:w="57" w:type="dxa"/>
        <w:bottom w:w="57" w:type="dxa"/>
        <w:right w:w="113" w:type="dxa"/>
      </w:tblCellMar>
    </w:tblPr>
  </w:style>
  <w:style w:type="table" w:customStyle="1" w:styleId="UGTableWhiteBox">
    <w:name w:val="UG_Table_White_Box"/>
    <w:uiPriority w:val="99"/>
    <w:rsid w:val="00CC2A24"/>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CC2A24"/>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CC2A24"/>
    <w:rPr>
      <w:color w:val="00000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CC2A24"/>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CC2A24"/>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5758F7"/>
    <w:pPr>
      <w:keepNext/>
      <w:keepLines/>
      <w:spacing w:before="240"/>
      <w:jc w:val="center"/>
    </w:pPr>
    <w:rPr>
      <w:rFonts w:eastAsia="MS Gothic"/>
      <w:b/>
      <w:bCs/>
      <w:color w:val="474747"/>
      <w:sz w:val="28"/>
      <w:szCs w:val="28"/>
    </w:rPr>
  </w:style>
  <w:style w:type="paragraph" w:styleId="Podtytu">
    <w:name w:val="Subtitle"/>
    <w:basedOn w:val="Normalny"/>
    <w:next w:val="Normalny"/>
    <w:link w:val="PodtytuZnak"/>
    <w:uiPriority w:val="99"/>
    <w:qFormat/>
    <w:rsid w:val="005758F7"/>
    <w:pPr>
      <w:spacing w:after="600"/>
    </w:pPr>
    <w:rPr>
      <w:rFonts w:eastAsia="MS Gothic"/>
      <w:i/>
      <w:iCs/>
      <w:spacing w:val="13"/>
      <w:lang w:val="en-US"/>
    </w:rPr>
  </w:style>
  <w:style w:type="character" w:customStyle="1" w:styleId="PodtytuZnak">
    <w:name w:val="Podtytuł Znak"/>
    <w:link w:val="Podtytu"/>
    <w:uiPriority w:val="99"/>
    <w:semiHidden/>
    <w:locked/>
    <w:rsid w:val="005758F7"/>
    <w:rPr>
      <w:rFonts w:ascii="Times New Roman" w:eastAsia="MS Gothic" w:hAnsi="Times New Roman" w:cs="Times New Roman"/>
      <w:i/>
      <w:iCs/>
      <w:spacing w:val="13"/>
      <w:sz w:val="24"/>
      <w:szCs w:val="24"/>
    </w:rPr>
  </w:style>
  <w:style w:type="paragraph" w:customStyle="1" w:styleId="ECHRPara">
    <w:name w:val="ECHR_Para"/>
    <w:aliases w:val="Ju_Para,_Para,Left,First line:  0 cm,Para,N_Para,Ju_Para + Interligne : Double"/>
    <w:basedOn w:val="Normalny"/>
    <w:link w:val="ECHRParaChar"/>
    <w:uiPriority w:val="99"/>
    <w:rsid w:val="005758F7"/>
    <w:pPr>
      <w:ind w:firstLine="284"/>
    </w:pPr>
    <w:rPr>
      <w:lang w:eastAsia="pl-PL"/>
    </w:rPr>
  </w:style>
  <w:style w:type="table" w:customStyle="1" w:styleId="ECHRTableSimpleBox">
    <w:name w:val="ECHR_Table_Simple_Box"/>
    <w:uiPriority w:val="99"/>
    <w:rsid w:val="00CC2A24"/>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CC2A24"/>
    <w:tblPr>
      <w:tblCellMar>
        <w:top w:w="85" w:type="dxa"/>
        <w:left w:w="142" w:type="dxa"/>
        <w:bottom w:w="28" w:type="dxa"/>
        <w:right w:w="142" w:type="dxa"/>
      </w:tblCellMar>
    </w:tblPr>
  </w:style>
  <w:style w:type="table" w:customStyle="1" w:styleId="ECHRTableForInternalUse">
    <w:name w:val="ECHR_Table_For_Internal_Use"/>
    <w:uiPriority w:val="99"/>
    <w:rsid w:val="00CC2A24"/>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5758F7"/>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fia">
    <w:name w:val="Bibliography"/>
    <w:basedOn w:val="Normalny"/>
    <w:next w:val="Normalny"/>
    <w:uiPriority w:val="99"/>
    <w:semiHidden/>
    <w:rsid w:val="00CC2A24"/>
  </w:style>
  <w:style w:type="paragraph" w:styleId="Tekstblokowy">
    <w:name w:val="Block Text"/>
    <w:basedOn w:val="Normalny"/>
    <w:uiPriority w:val="99"/>
    <w:semiHidden/>
    <w:rsid w:val="00CC2A24"/>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CC2A24"/>
    <w:tblPr>
      <w:tblBorders>
        <w:bottom w:val="single" w:sz="6" w:space="0" w:color="949494"/>
      </w:tblBorders>
      <w:tblCellMar>
        <w:top w:w="0" w:type="dxa"/>
        <w:left w:w="0" w:type="dxa"/>
        <w:bottom w:w="28" w:type="dxa"/>
        <w:right w:w="0" w:type="dxa"/>
      </w:tblCellMar>
    </w:tblPr>
  </w:style>
  <w:style w:type="paragraph" w:styleId="Tekstpodstawowy">
    <w:name w:val="Body Text"/>
    <w:basedOn w:val="Normalny"/>
    <w:link w:val="TekstpodstawowyZnak"/>
    <w:uiPriority w:val="99"/>
    <w:semiHidden/>
    <w:rsid w:val="00CC2A24"/>
    <w:pPr>
      <w:spacing w:after="120"/>
    </w:pPr>
  </w:style>
  <w:style w:type="character" w:customStyle="1" w:styleId="TekstpodstawowyZnak">
    <w:name w:val="Tekst podstawowy Znak"/>
    <w:link w:val="Tekstpodstawowy"/>
    <w:uiPriority w:val="99"/>
    <w:locked/>
    <w:rsid w:val="00CC2A24"/>
    <w:rPr>
      <w:rFonts w:eastAsia="MS Mincho"/>
      <w:sz w:val="24"/>
      <w:szCs w:val="24"/>
    </w:rPr>
  </w:style>
  <w:style w:type="table" w:customStyle="1" w:styleId="ECHRTableOddBanded">
    <w:name w:val="ECHR_Table_Odd_Banded"/>
    <w:uiPriority w:val="99"/>
    <w:rsid w:val="00CC2A24"/>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Tekstpodstawowy2">
    <w:name w:val="Body Text 2"/>
    <w:basedOn w:val="Normalny"/>
    <w:link w:val="Tekstpodstawowy2Znak"/>
    <w:uiPriority w:val="99"/>
    <w:semiHidden/>
    <w:rsid w:val="00CC2A24"/>
    <w:pPr>
      <w:spacing w:after="120" w:line="480" w:lineRule="auto"/>
    </w:pPr>
  </w:style>
  <w:style w:type="character" w:customStyle="1" w:styleId="Tekstpodstawowy2Znak">
    <w:name w:val="Tekst podstawowy 2 Znak"/>
    <w:link w:val="Tekstpodstawowy2"/>
    <w:uiPriority w:val="99"/>
    <w:semiHidden/>
    <w:locked/>
    <w:rsid w:val="00CC2A24"/>
    <w:rPr>
      <w:rFonts w:eastAsia="MS Mincho"/>
      <w:sz w:val="24"/>
      <w:szCs w:val="24"/>
    </w:rPr>
  </w:style>
  <w:style w:type="table" w:customStyle="1" w:styleId="ECHRHeaderTableReduced">
    <w:name w:val="ECHR_Header_Table_Reduced"/>
    <w:uiPriority w:val="99"/>
    <w:rsid w:val="00CC2A24"/>
    <w:tblPr>
      <w:tblCellMar>
        <w:top w:w="0" w:type="dxa"/>
        <w:left w:w="0" w:type="dxa"/>
        <w:bottom w:w="0" w:type="dxa"/>
        <w:right w:w="0" w:type="dxa"/>
      </w:tblCellMar>
    </w:tblPr>
  </w:style>
  <w:style w:type="paragraph" w:customStyle="1" w:styleId="JuCase">
    <w:name w:val="Ju_Case"/>
    <w:basedOn w:val="Normalny"/>
    <w:next w:val="ECHRPara"/>
    <w:uiPriority w:val="99"/>
    <w:rsid w:val="005758F7"/>
    <w:pPr>
      <w:ind w:firstLine="284"/>
    </w:pPr>
    <w:rPr>
      <w:b/>
      <w:bCs/>
    </w:rPr>
  </w:style>
  <w:style w:type="character" w:styleId="Numerstrony">
    <w:name w:val="page number"/>
    <w:uiPriority w:val="99"/>
    <w:semiHidden/>
    <w:rsid w:val="00CC2A24"/>
    <w:rPr>
      <w:sz w:val="18"/>
      <w:szCs w:val="18"/>
    </w:rPr>
  </w:style>
  <w:style w:type="paragraph" w:styleId="Listapunktowana">
    <w:name w:val="List Bullet"/>
    <w:basedOn w:val="Normalny"/>
    <w:uiPriority w:val="99"/>
    <w:semiHidden/>
    <w:rsid w:val="00CC2A24"/>
    <w:pPr>
      <w:numPr>
        <w:numId w:val="20"/>
      </w:numPr>
    </w:pPr>
  </w:style>
  <w:style w:type="paragraph" w:styleId="Tekstpodstawowy3">
    <w:name w:val="Body Text 3"/>
    <w:basedOn w:val="Normalny"/>
    <w:link w:val="Tekstpodstawowy3Znak"/>
    <w:uiPriority w:val="99"/>
    <w:semiHidden/>
    <w:rsid w:val="00CC2A24"/>
    <w:pPr>
      <w:spacing w:after="120"/>
    </w:pPr>
    <w:rPr>
      <w:sz w:val="16"/>
      <w:szCs w:val="16"/>
    </w:rPr>
  </w:style>
  <w:style w:type="character" w:customStyle="1" w:styleId="Tekstpodstawowy3Znak">
    <w:name w:val="Tekst podstawowy 3 Znak"/>
    <w:link w:val="Tekstpodstawowy3"/>
    <w:uiPriority w:val="99"/>
    <w:semiHidden/>
    <w:locked/>
    <w:rsid w:val="00CC2A24"/>
    <w:rPr>
      <w:rFonts w:eastAsia="MS Mincho"/>
      <w:sz w:val="16"/>
      <w:szCs w:val="16"/>
    </w:rPr>
  </w:style>
  <w:style w:type="paragraph" w:styleId="Tekstpodstawowyzwciciem">
    <w:name w:val="Body Text First Indent"/>
    <w:basedOn w:val="Tekstpodstawowy"/>
    <w:link w:val="TekstpodstawowyzwciciemZnak"/>
    <w:uiPriority w:val="99"/>
    <w:semiHidden/>
    <w:rsid w:val="00CC2A24"/>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CC2A24"/>
    <w:rPr>
      <w:rFonts w:eastAsia="MS Mincho"/>
      <w:sz w:val="24"/>
      <w:szCs w:val="24"/>
    </w:rPr>
  </w:style>
  <w:style w:type="paragraph" w:styleId="Tekstpodstawowywcity">
    <w:name w:val="Body Text Indent"/>
    <w:basedOn w:val="Normalny"/>
    <w:link w:val="TekstpodstawowywcityZnak"/>
    <w:uiPriority w:val="99"/>
    <w:semiHidden/>
    <w:rsid w:val="00CC2A24"/>
    <w:pPr>
      <w:spacing w:after="120"/>
      <w:ind w:left="283"/>
    </w:pPr>
  </w:style>
  <w:style w:type="character" w:customStyle="1" w:styleId="TekstpodstawowywcityZnak">
    <w:name w:val="Tekst podstawowy wcięty Znak"/>
    <w:link w:val="Tekstpodstawowywcity"/>
    <w:uiPriority w:val="99"/>
    <w:semiHidden/>
    <w:locked/>
    <w:rsid w:val="00CC2A24"/>
    <w:rPr>
      <w:rFonts w:eastAsia="MS Mincho"/>
      <w:sz w:val="24"/>
      <w:szCs w:val="24"/>
    </w:rPr>
  </w:style>
  <w:style w:type="paragraph" w:styleId="Tekstpodstawowyzwciciem2">
    <w:name w:val="Body Text First Indent 2"/>
    <w:basedOn w:val="Tekstpodstawowywcity"/>
    <w:link w:val="Tekstpodstawowyzwciciem2Znak"/>
    <w:uiPriority w:val="99"/>
    <w:semiHidden/>
    <w:rsid w:val="00CC2A24"/>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CC2A24"/>
    <w:rPr>
      <w:rFonts w:eastAsia="MS Mincho"/>
      <w:sz w:val="24"/>
      <w:szCs w:val="24"/>
    </w:rPr>
  </w:style>
  <w:style w:type="paragraph" w:styleId="Tekstpodstawowywcity2">
    <w:name w:val="Body Text Indent 2"/>
    <w:basedOn w:val="Normalny"/>
    <w:link w:val="Tekstpodstawowywcity2Znak"/>
    <w:uiPriority w:val="99"/>
    <w:semiHidden/>
    <w:rsid w:val="00CC2A24"/>
    <w:pPr>
      <w:spacing w:after="120" w:line="480" w:lineRule="auto"/>
      <w:ind w:left="283"/>
    </w:pPr>
  </w:style>
  <w:style w:type="character" w:customStyle="1" w:styleId="Tekstpodstawowywcity2Znak">
    <w:name w:val="Tekst podstawowy wcięty 2 Znak"/>
    <w:link w:val="Tekstpodstawowywcity2"/>
    <w:uiPriority w:val="99"/>
    <w:semiHidden/>
    <w:locked/>
    <w:rsid w:val="00CC2A24"/>
    <w:rPr>
      <w:rFonts w:eastAsia="MS Mincho"/>
      <w:sz w:val="24"/>
      <w:szCs w:val="24"/>
    </w:rPr>
  </w:style>
  <w:style w:type="paragraph" w:styleId="Tekstpodstawowywcity3">
    <w:name w:val="Body Text Indent 3"/>
    <w:basedOn w:val="Normalny"/>
    <w:link w:val="Tekstpodstawowywcity3Znak"/>
    <w:uiPriority w:val="99"/>
    <w:semiHidden/>
    <w:rsid w:val="00CC2A24"/>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CC2A24"/>
    <w:rPr>
      <w:rFonts w:eastAsia="MS Mincho"/>
      <w:sz w:val="16"/>
      <w:szCs w:val="16"/>
    </w:rPr>
  </w:style>
  <w:style w:type="paragraph" w:styleId="Legenda">
    <w:name w:val="caption"/>
    <w:basedOn w:val="Normalny"/>
    <w:next w:val="Normalny"/>
    <w:uiPriority w:val="99"/>
    <w:qFormat/>
    <w:rsid w:val="00CC2A24"/>
    <w:pPr>
      <w:spacing w:after="200"/>
    </w:pPr>
    <w:rPr>
      <w:b/>
      <w:bCs/>
      <w:color w:val="0072BC"/>
      <w:sz w:val="18"/>
      <w:szCs w:val="18"/>
    </w:rPr>
  </w:style>
  <w:style w:type="paragraph" w:styleId="Zwrotpoegnalny">
    <w:name w:val="Closing"/>
    <w:basedOn w:val="Normalny"/>
    <w:link w:val="ZwrotpoegnalnyZnak"/>
    <w:uiPriority w:val="99"/>
    <w:semiHidden/>
    <w:rsid w:val="00CC2A24"/>
    <w:pPr>
      <w:ind w:left="4252"/>
    </w:pPr>
  </w:style>
  <w:style w:type="character" w:customStyle="1" w:styleId="ZwrotpoegnalnyZnak">
    <w:name w:val="Zwrot pożegnalny Znak"/>
    <w:link w:val="Zwrotpoegnalny"/>
    <w:uiPriority w:val="99"/>
    <w:semiHidden/>
    <w:locked/>
    <w:rsid w:val="00CC2A24"/>
    <w:rPr>
      <w:rFonts w:eastAsia="MS Mincho"/>
      <w:sz w:val="24"/>
      <w:szCs w:val="24"/>
    </w:rPr>
  </w:style>
  <w:style w:type="table" w:styleId="Kolorowasiatka">
    <w:name w:val="Colorful Grid"/>
    <w:basedOn w:val="Standardowy"/>
    <w:uiPriority w:val="99"/>
    <w:semiHidden/>
    <w:rsid w:val="00CC2A24"/>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CC2A24"/>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CC2A24"/>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CC2A24"/>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CC2A24"/>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CC2A24"/>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CC2A24"/>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CC2A24"/>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CC2A24"/>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CC2A24"/>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CC2A24"/>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CC2A24"/>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CC2A24"/>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CC2A24"/>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CC2A24"/>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CC2A24"/>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CC2A24"/>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CC2A24"/>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CC2A24"/>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CC2A24"/>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CC2A24"/>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Odwoaniedokomentarza">
    <w:name w:val="annotation reference"/>
    <w:uiPriority w:val="99"/>
    <w:semiHidden/>
    <w:rsid w:val="00CC2A24"/>
    <w:rPr>
      <w:sz w:val="16"/>
      <w:szCs w:val="16"/>
    </w:rPr>
  </w:style>
  <w:style w:type="paragraph" w:styleId="Tekstkomentarza">
    <w:name w:val="annotation text"/>
    <w:basedOn w:val="Normalny"/>
    <w:link w:val="TekstkomentarzaZnak"/>
    <w:uiPriority w:val="99"/>
    <w:semiHidden/>
    <w:rsid w:val="00CC2A24"/>
    <w:rPr>
      <w:sz w:val="20"/>
      <w:szCs w:val="20"/>
    </w:rPr>
  </w:style>
  <w:style w:type="character" w:customStyle="1" w:styleId="TekstkomentarzaZnak">
    <w:name w:val="Tekst komentarza Znak"/>
    <w:link w:val="Tekstkomentarza"/>
    <w:uiPriority w:val="99"/>
    <w:semiHidden/>
    <w:locked/>
    <w:rsid w:val="00CC2A24"/>
    <w:rPr>
      <w:rFonts w:eastAsia="MS Mincho"/>
      <w:sz w:val="20"/>
      <w:szCs w:val="20"/>
    </w:rPr>
  </w:style>
  <w:style w:type="paragraph" w:styleId="Tematkomentarza">
    <w:name w:val="annotation subject"/>
    <w:basedOn w:val="Tekstkomentarza"/>
    <w:next w:val="Tekstkomentarza"/>
    <w:link w:val="TematkomentarzaZnak"/>
    <w:uiPriority w:val="99"/>
    <w:semiHidden/>
    <w:rsid w:val="00CC2A24"/>
    <w:rPr>
      <w:b/>
      <w:bCs/>
    </w:rPr>
  </w:style>
  <w:style w:type="character" w:customStyle="1" w:styleId="TematkomentarzaZnak">
    <w:name w:val="Temat komentarza Znak"/>
    <w:link w:val="Tematkomentarza"/>
    <w:uiPriority w:val="99"/>
    <w:semiHidden/>
    <w:locked/>
    <w:rsid w:val="00CC2A24"/>
    <w:rPr>
      <w:rFonts w:eastAsia="MS Mincho"/>
      <w:b/>
      <w:bCs/>
      <w:sz w:val="20"/>
      <w:szCs w:val="20"/>
    </w:rPr>
  </w:style>
  <w:style w:type="table" w:styleId="Ciemnalista">
    <w:name w:val="Dark List"/>
    <w:basedOn w:val="Standardowy"/>
    <w:uiPriority w:val="99"/>
    <w:semiHidden/>
    <w:rsid w:val="00CC2A24"/>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CC2A24"/>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CC2A24"/>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CC2A24"/>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CC2A24"/>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CC2A24"/>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CC2A24"/>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CC2A24"/>
  </w:style>
  <w:style w:type="character" w:customStyle="1" w:styleId="DataZnak">
    <w:name w:val="Data Znak"/>
    <w:link w:val="Data"/>
    <w:uiPriority w:val="99"/>
    <w:semiHidden/>
    <w:locked/>
    <w:rsid w:val="00CC2A24"/>
    <w:rPr>
      <w:rFonts w:eastAsia="MS Mincho"/>
      <w:sz w:val="24"/>
      <w:szCs w:val="24"/>
    </w:rPr>
  </w:style>
  <w:style w:type="paragraph" w:styleId="Mapadokumentu">
    <w:name w:val="Document Map"/>
    <w:basedOn w:val="Normalny"/>
    <w:link w:val="MapadokumentuZnak"/>
    <w:uiPriority w:val="99"/>
    <w:semiHidden/>
    <w:rsid w:val="00CC2A24"/>
    <w:rPr>
      <w:rFonts w:ascii="Tahoma" w:hAnsi="Tahoma" w:cs="Tahoma"/>
      <w:sz w:val="16"/>
      <w:szCs w:val="16"/>
    </w:rPr>
  </w:style>
  <w:style w:type="character" w:customStyle="1" w:styleId="MapadokumentuZnak">
    <w:name w:val="Mapa dokumentu Znak"/>
    <w:link w:val="Mapadokumentu"/>
    <w:uiPriority w:val="99"/>
    <w:semiHidden/>
    <w:locked/>
    <w:rsid w:val="00CC2A24"/>
    <w:rPr>
      <w:rFonts w:ascii="Tahoma" w:eastAsia="MS Mincho" w:hAnsi="Tahoma" w:cs="Tahoma"/>
      <w:sz w:val="16"/>
      <w:szCs w:val="16"/>
    </w:rPr>
  </w:style>
  <w:style w:type="paragraph" w:styleId="Podpise-mail">
    <w:name w:val="E-mail Signature"/>
    <w:basedOn w:val="Normalny"/>
    <w:link w:val="Podpise-mailZnak"/>
    <w:uiPriority w:val="99"/>
    <w:semiHidden/>
    <w:rsid w:val="00CC2A24"/>
  </w:style>
  <w:style w:type="character" w:customStyle="1" w:styleId="Podpise-mailZnak">
    <w:name w:val="Podpis e-mail Znak"/>
    <w:link w:val="Podpise-mail"/>
    <w:uiPriority w:val="99"/>
    <w:semiHidden/>
    <w:locked/>
    <w:rsid w:val="00CC2A24"/>
    <w:rPr>
      <w:rFonts w:eastAsia="MS Mincho"/>
      <w:sz w:val="24"/>
      <w:szCs w:val="24"/>
    </w:rPr>
  </w:style>
  <w:style w:type="character" w:styleId="Odwoanieprzypisukocowego">
    <w:name w:val="endnote reference"/>
    <w:uiPriority w:val="99"/>
    <w:semiHidden/>
    <w:rsid w:val="005758F7"/>
    <w:rPr>
      <w:vertAlign w:val="superscript"/>
    </w:rPr>
  </w:style>
  <w:style w:type="paragraph" w:styleId="Tekstprzypisukocowego">
    <w:name w:val="endnote text"/>
    <w:basedOn w:val="Normalny"/>
    <w:link w:val="TekstprzypisukocowegoZnak"/>
    <w:uiPriority w:val="99"/>
    <w:semiHidden/>
    <w:rsid w:val="005758F7"/>
    <w:rPr>
      <w:sz w:val="20"/>
      <w:szCs w:val="20"/>
    </w:rPr>
  </w:style>
  <w:style w:type="character" w:customStyle="1" w:styleId="TekstprzypisukocowegoZnak">
    <w:name w:val="Tekst przypisu końcowego Znak"/>
    <w:link w:val="Tekstprzypisukocowego"/>
    <w:uiPriority w:val="99"/>
    <w:semiHidden/>
    <w:locked/>
    <w:rsid w:val="005758F7"/>
    <w:rPr>
      <w:rFonts w:eastAsia="MS Mincho"/>
      <w:sz w:val="20"/>
      <w:szCs w:val="20"/>
      <w:lang w:val="en-GB"/>
    </w:rPr>
  </w:style>
  <w:style w:type="paragraph" w:styleId="Adresnakopercie">
    <w:name w:val="envelope address"/>
    <w:basedOn w:val="Normalny"/>
    <w:uiPriority w:val="99"/>
    <w:semiHidden/>
    <w:rsid w:val="00CC2A24"/>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CC2A24"/>
    <w:rPr>
      <w:rFonts w:eastAsia="MS Gothic"/>
      <w:sz w:val="20"/>
      <w:szCs w:val="20"/>
    </w:rPr>
  </w:style>
  <w:style w:type="character" w:styleId="UyteHipercze">
    <w:name w:val="FollowedHyperlink"/>
    <w:uiPriority w:val="99"/>
    <w:semiHidden/>
    <w:rsid w:val="00CC2A24"/>
    <w:rPr>
      <w:color w:val="auto"/>
      <w:u w:val="single"/>
    </w:rPr>
  </w:style>
  <w:style w:type="character" w:styleId="HTML-akronim">
    <w:name w:val="HTML Acronym"/>
    <w:basedOn w:val="Domylnaczcionkaakapitu"/>
    <w:uiPriority w:val="99"/>
    <w:semiHidden/>
    <w:rsid w:val="00CC2A24"/>
  </w:style>
  <w:style w:type="paragraph" w:styleId="HTML-adres">
    <w:name w:val="HTML Address"/>
    <w:basedOn w:val="Normalny"/>
    <w:link w:val="HTML-adresZnak"/>
    <w:uiPriority w:val="99"/>
    <w:semiHidden/>
    <w:rsid w:val="00CC2A24"/>
    <w:rPr>
      <w:i/>
      <w:iCs/>
    </w:rPr>
  </w:style>
  <w:style w:type="character" w:customStyle="1" w:styleId="HTML-adresZnak">
    <w:name w:val="HTML - adres Znak"/>
    <w:link w:val="HTML-adres"/>
    <w:uiPriority w:val="99"/>
    <w:semiHidden/>
    <w:locked/>
    <w:rsid w:val="00CC2A24"/>
    <w:rPr>
      <w:rFonts w:eastAsia="MS Mincho"/>
      <w:i/>
      <w:iCs/>
      <w:sz w:val="24"/>
      <w:szCs w:val="24"/>
    </w:rPr>
  </w:style>
  <w:style w:type="character" w:styleId="HTML-cytat">
    <w:name w:val="HTML Cite"/>
    <w:uiPriority w:val="99"/>
    <w:semiHidden/>
    <w:rsid w:val="00CC2A24"/>
    <w:rPr>
      <w:i/>
      <w:iCs/>
    </w:rPr>
  </w:style>
  <w:style w:type="character" w:styleId="HTML-kod">
    <w:name w:val="HTML Code"/>
    <w:uiPriority w:val="99"/>
    <w:semiHidden/>
    <w:rsid w:val="00CC2A24"/>
    <w:rPr>
      <w:rFonts w:ascii="Consolas" w:hAnsi="Consolas" w:cs="Consolas"/>
      <w:sz w:val="20"/>
      <w:szCs w:val="20"/>
    </w:rPr>
  </w:style>
  <w:style w:type="character" w:styleId="HTML-definicja">
    <w:name w:val="HTML Definition"/>
    <w:uiPriority w:val="99"/>
    <w:semiHidden/>
    <w:rsid w:val="00CC2A24"/>
    <w:rPr>
      <w:i/>
      <w:iCs/>
    </w:rPr>
  </w:style>
  <w:style w:type="character" w:styleId="HTML-klawiatura">
    <w:name w:val="HTML Keyboard"/>
    <w:uiPriority w:val="99"/>
    <w:semiHidden/>
    <w:rsid w:val="00CC2A24"/>
    <w:rPr>
      <w:rFonts w:ascii="Consolas" w:hAnsi="Consolas" w:cs="Consolas"/>
      <w:sz w:val="20"/>
      <w:szCs w:val="20"/>
    </w:rPr>
  </w:style>
  <w:style w:type="paragraph" w:styleId="HTML-wstpniesformatowany">
    <w:name w:val="HTML Preformatted"/>
    <w:basedOn w:val="Normalny"/>
    <w:link w:val="HTML-wstpniesformatowanyZnak"/>
    <w:uiPriority w:val="99"/>
    <w:semiHidden/>
    <w:rsid w:val="00CC2A24"/>
    <w:rPr>
      <w:rFonts w:ascii="Consolas" w:hAnsi="Consolas" w:cs="Consolas"/>
      <w:sz w:val="20"/>
      <w:szCs w:val="20"/>
    </w:rPr>
  </w:style>
  <w:style w:type="character" w:customStyle="1" w:styleId="HTML-wstpniesformatowanyZnak">
    <w:name w:val="HTML - wstępnie sformatowany Znak"/>
    <w:link w:val="HTML-wstpniesformatowany"/>
    <w:uiPriority w:val="99"/>
    <w:semiHidden/>
    <w:locked/>
    <w:rsid w:val="00CC2A24"/>
    <w:rPr>
      <w:rFonts w:ascii="Consolas" w:eastAsia="MS Mincho" w:hAnsi="Consolas" w:cs="Consolas"/>
      <w:sz w:val="20"/>
      <w:szCs w:val="20"/>
    </w:rPr>
  </w:style>
  <w:style w:type="character" w:styleId="HTML-przykad">
    <w:name w:val="HTML Sample"/>
    <w:uiPriority w:val="99"/>
    <w:semiHidden/>
    <w:rsid w:val="00CC2A24"/>
    <w:rPr>
      <w:rFonts w:ascii="Consolas" w:hAnsi="Consolas" w:cs="Consolas"/>
      <w:sz w:val="24"/>
      <w:szCs w:val="24"/>
    </w:rPr>
  </w:style>
  <w:style w:type="character" w:styleId="HTML-staaszeroko">
    <w:name w:val="HTML Typewriter"/>
    <w:uiPriority w:val="99"/>
    <w:semiHidden/>
    <w:rsid w:val="00CC2A24"/>
    <w:rPr>
      <w:rFonts w:ascii="Consolas" w:hAnsi="Consolas" w:cs="Consolas"/>
      <w:sz w:val="20"/>
      <w:szCs w:val="20"/>
    </w:rPr>
  </w:style>
  <w:style w:type="character" w:styleId="HTML-zmienna">
    <w:name w:val="HTML Variable"/>
    <w:uiPriority w:val="99"/>
    <w:semiHidden/>
    <w:rsid w:val="00CC2A24"/>
    <w:rPr>
      <w:i/>
      <w:iCs/>
    </w:rPr>
  </w:style>
  <w:style w:type="paragraph" w:styleId="Indeks1">
    <w:name w:val="index 1"/>
    <w:basedOn w:val="Normalny"/>
    <w:next w:val="Normalny"/>
    <w:autoRedefine/>
    <w:uiPriority w:val="99"/>
    <w:semiHidden/>
    <w:rsid w:val="00CC2A24"/>
    <w:pPr>
      <w:ind w:left="240" w:hanging="240"/>
    </w:pPr>
  </w:style>
  <w:style w:type="paragraph" w:styleId="Indeks2">
    <w:name w:val="index 2"/>
    <w:basedOn w:val="Normalny"/>
    <w:next w:val="Normalny"/>
    <w:autoRedefine/>
    <w:uiPriority w:val="99"/>
    <w:semiHidden/>
    <w:rsid w:val="00CC2A24"/>
    <w:pPr>
      <w:ind w:left="480" w:hanging="240"/>
    </w:pPr>
  </w:style>
  <w:style w:type="paragraph" w:styleId="Indeks3">
    <w:name w:val="index 3"/>
    <w:basedOn w:val="Normalny"/>
    <w:next w:val="Normalny"/>
    <w:autoRedefine/>
    <w:uiPriority w:val="99"/>
    <w:semiHidden/>
    <w:rsid w:val="00CC2A24"/>
    <w:pPr>
      <w:ind w:left="720" w:hanging="240"/>
    </w:pPr>
  </w:style>
  <w:style w:type="paragraph" w:styleId="Indeks4">
    <w:name w:val="index 4"/>
    <w:basedOn w:val="Normalny"/>
    <w:next w:val="Normalny"/>
    <w:autoRedefine/>
    <w:uiPriority w:val="99"/>
    <w:semiHidden/>
    <w:rsid w:val="00CC2A24"/>
    <w:pPr>
      <w:ind w:left="960" w:hanging="240"/>
    </w:pPr>
  </w:style>
  <w:style w:type="paragraph" w:styleId="Indeks5">
    <w:name w:val="index 5"/>
    <w:basedOn w:val="Normalny"/>
    <w:next w:val="Normalny"/>
    <w:autoRedefine/>
    <w:uiPriority w:val="99"/>
    <w:semiHidden/>
    <w:rsid w:val="00CC2A24"/>
    <w:pPr>
      <w:ind w:left="1200" w:hanging="240"/>
    </w:pPr>
  </w:style>
  <w:style w:type="paragraph" w:styleId="Indeks6">
    <w:name w:val="index 6"/>
    <w:basedOn w:val="Normalny"/>
    <w:next w:val="Normalny"/>
    <w:autoRedefine/>
    <w:uiPriority w:val="99"/>
    <w:semiHidden/>
    <w:rsid w:val="00CC2A24"/>
    <w:pPr>
      <w:ind w:left="1440" w:hanging="240"/>
    </w:pPr>
  </w:style>
  <w:style w:type="paragraph" w:styleId="Indeks7">
    <w:name w:val="index 7"/>
    <w:basedOn w:val="Normalny"/>
    <w:next w:val="Normalny"/>
    <w:autoRedefine/>
    <w:uiPriority w:val="99"/>
    <w:semiHidden/>
    <w:rsid w:val="00CC2A24"/>
    <w:pPr>
      <w:ind w:left="1680" w:hanging="240"/>
    </w:pPr>
  </w:style>
  <w:style w:type="paragraph" w:styleId="Indeks8">
    <w:name w:val="index 8"/>
    <w:basedOn w:val="Normalny"/>
    <w:next w:val="Normalny"/>
    <w:autoRedefine/>
    <w:uiPriority w:val="99"/>
    <w:semiHidden/>
    <w:rsid w:val="00CC2A24"/>
    <w:pPr>
      <w:ind w:left="1920" w:hanging="240"/>
    </w:pPr>
  </w:style>
  <w:style w:type="paragraph" w:styleId="Indeks9">
    <w:name w:val="index 9"/>
    <w:basedOn w:val="Normalny"/>
    <w:next w:val="Normalny"/>
    <w:autoRedefine/>
    <w:uiPriority w:val="99"/>
    <w:semiHidden/>
    <w:rsid w:val="00CC2A24"/>
    <w:pPr>
      <w:ind w:left="2160" w:hanging="240"/>
    </w:pPr>
  </w:style>
  <w:style w:type="paragraph" w:styleId="Nagwekindeksu">
    <w:name w:val="index heading"/>
    <w:basedOn w:val="Normalny"/>
    <w:next w:val="Indeks1"/>
    <w:uiPriority w:val="99"/>
    <w:semiHidden/>
    <w:rsid w:val="00CC2A24"/>
    <w:rPr>
      <w:rFonts w:eastAsia="MS Gothic"/>
      <w:b/>
      <w:bCs/>
    </w:rPr>
  </w:style>
  <w:style w:type="table" w:styleId="Jasnasiatka">
    <w:name w:val="Light Grid"/>
    <w:basedOn w:val="Standardowy"/>
    <w:uiPriority w:val="99"/>
    <w:semiHidden/>
    <w:rsid w:val="00CC2A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CC2A24"/>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CC2A24"/>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CC2A24"/>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CC2A24"/>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CC2A24"/>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CC2A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CC2A24"/>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CC2A24"/>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CC2A24"/>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CC2A24"/>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CC2A24"/>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CC2A24"/>
    <w:rPr>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CC2A24"/>
    <w:rPr>
      <w:color w:val="00548C"/>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CC2A24"/>
    <w:rPr>
      <w:color w:val="8F0000"/>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CC2A24"/>
    <w:rPr>
      <w:color w:val="474747"/>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CC2A24"/>
    <w:rPr>
      <w:color w:val="707070"/>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CC2A24"/>
    <w:rPr>
      <w:color w:val="474747"/>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CC2A24"/>
    <w:rPr>
      <w:color w:val="393939"/>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CC2A24"/>
  </w:style>
  <w:style w:type="paragraph" w:styleId="Lista">
    <w:name w:val="List"/>
    <w:basedOn w:val="Normalny"/>
    <w:uiPriority w:val="99"/>
    <w:semiHidden/>
    <w:rsid w:val="00CC2A24"/>
    <w:pPr>
      <w:ind w:left="283" w:hanging="283"/>
    </w:pPr>
  </w:style>
  <w:style w:type="paragraph" w:styleId="Lista2">
    <w:name w:val="List 2"/>
    <w:basedOn w:val="Normalny"/>
    <w:uiPriority w:val="99"/>
    <w:semiHidden/>
    <w:rsid w:val="00CC2A24"/>
    <w:pPr>
      <w:ind w:left="566" w:hanging="283"/>
    </w:pPr>
  </w:style>
  <w:style w:type="paragraph" w:styleId="Lista3">
    <w:name w:val="List 3"/>
    <w:basedOn w:val="Normalny"/>
    <w:uiPriority w:val="99"/>
    <w:semiHidden/>
    <w:rsid w:val="00CC2A24"/>
    <w:pPr>
      <w:ind w:left="849" w:hanging="283"/>
    </w:pPr>
  </w:style>
  <w:style w:type="paragraph" w:styleId="Lista4">
    <w:name w:val="List 4"/>
    <w:basedOn w:val="Normalny"/>
    <w:uiPriority w:val="99"/>
    <w:semiHidden/>
    <w:rsid w:val="00CC2A24"/>
    <w:pPr>
      <w:ind w:left="1132" w:hanging="283"/>
    </w:pPr>
  </w:style>
  <w:style w:type="paragraph" w:styleId="Lista5">
    <w:name w:val="List 5"/>
    <w:basedOn w:val="Normalny"/>
    <w:uiPriority w:val="99"/>
    <w:semiHidden/>
    <w:rsid w:val="00CC2A24"/>
    <w:pPr>
      <w:ind w:left="1415" w:hanging="283"/>
    </w:pPr>
  </w:style>
  <w:style w:type="paragraph" w:styleId="Listapunktowana2">
    <w:name w:val="List Bullet 2"/>
    <w:basedOn w:val="Normalny"/>
    <w:uiPriority w:val="99"/>
    <w:semiHidden/>
    <w:rsid w:val="00CC2A24"/>
    <w:pPr>
      <w:numPr>
        <w:numId w:val="1"/>
      </w:numPr>
      <w:tabs>
        <w:tab w:val="clear" w:pos="360"/>
        <w:tab w:val="num" w:pos="643"/>
      </w:tabs>
      <w:ind w:left="643"/>
    </w:pPr>
  </w:style>
  <w:style w:type="paragraph" w:styleId="Listapunktowana3">
    <w:name w:val="List Bullet 3"/>
    <w:basedOn w:val="Normalny"/>
    <w:uiPriority w:val="99"/>
    <w:semiHidden/>
    <w:rsid w:val="00CC2A24"/>
    <w:pPr>
      <w:numPr>
        <w:numId w:val="2"/>
      </w:numPr>
      <w:tabs>
        <w:tab w:val="clear" w:pos="643"/>
        <w:tab w:val="num" w:pos="926"/>
      </w:tabs>
      <w:ind w:left="926"/>
    </w:pPr>
  </w:style>
  <w:style w:type="paragraph" w:styleId="Listapunktowana4">
    <w:name w:val="List Bullet 4"/>
    <w:basedOn w:val="Normalny"/>
    <w:uiPriority w:val="99"/>
    <w:semiHidden/>
    <w:rsid w:val="00CC2A24"/>
    <w:pPr>
      <w:numPr>
        <w:numId w:val="3"/>
      </w:numPr>
      <w:tabs>
        <w:tab w:val="clear" w:pos="926"/>
        <w:tab w:val="num" w:pos="1209"/>
      </w:tabs>
      <w:ind w:left="1209"/>
    </w:pPr>
  </w:style>
  <w:style w:type="paragraph" w:styleId="Listapunktowana5">
    <w:name w:val="List Bullet 5"/>
    <w:basedOn w:val="Normalny"/>
    <w:uiPriority w:val="99"/>
    <w:semiHidden/>
    <w:rsid w:val="00CC2A24"/>
    <w:pPr>
      <w:numPr>
        <w:numId w:val="4"/>
      </w:numPr>
      <w:tabs>
        <w:tab w:val="clear" w:pos="1209"/>
        <w:tab w:val="num" w:pos="1492"/>
      </w:tabs>
      <w:ind w:left="1492"/>
    </w:pPr>
  </w:style>
  <w:style w:type="paragraph" w:styleId="Lista-kontynuacja">
    <w:name w:val="List Continue"/>
    <w:basedOn w:val="Normalny"/>
    <w:uiPriority w:val="99"/>
    <w:semiHidden/>
    <w:rsid w:val="00CC2A24"/>
    <w:pPr>
      <w:spacing w:after="120"/>
      <w:ind w:left="283"/>
    </w:pPr>
  </w:style>
  <w:style w:type="paragraph" w:styleId="Lista-kontynuacja2">
    <w:name w:val="List Continue 2"/>
    <w:basedOn w:val="Normalny"/>
    <w:uiPriority w:val="99"/>
    <w:semiHidden/>
    <w:rsid w:val="00CC2A24"/>
    <w:pPr>
      <w:spacing w:after="120"/>
      <w:ind w:left="566"/>
    </w:pPr>
  </w:style>
  <w:style w:type="paragraph" w:styleId="Lista-kontynuacja3">
    <w:name w:val="List Continue 3"/>
    <w:basedOn w:val="Normalny"/>
    <w:uiPriority w:val="99"/>
    <w:semiHidden/>
    <w:rsid w:val="00CC2A24"/>
    <w:pPr>
      <w:spacing w:after="120"/>
      <w:ind w:left="849"/>
    </w:pPr>
  </w:style>
  <w:style w:type="paragraph" w:styleId="Lista-kontynuacja4">
    <w:name w:val="List Continue 4"/>
    <w:basedOn w:val="Normalny"/>
    <w:uiPriority w:val="99"/>
    <w:semiHidden/>
    <w:rsid w:val="00CC2A24"/>
    <w:pPr>
      <w:spacing w:after="120"/>
      <w:ind w:left="1132"/>
    </w:pPr>
  </w:style>
  <w:style w:type="paragraph" w:styleId="Lista-kontynuacja5">
    <w:name w:val="List Continue 5"/>
    <w:basedOn w:val="Normalny"/>
    <w:uiPriority w:val="99"/>
    <w:semiHidden/>
    <w:rsid w:val="00CC2A24"/>
    <w:pPr>
      <w:spacing w:after="120"/>
      <w:ind w:left="1415"/>
    </w:pPr>
  </w:style>
  <w:style w:type="paragraph" w:styleId="Listanumerowana">
    <w:name w:val="List Number"/>
    <w:basedOn w:val="Normalny"/>
    <w:uiPriority w:val="99"/>
    <w:semiHidden/>
    <w:rsid w:val="00CC2A24"/>
    <w:pPr>
      <w:numPr>
        <w:numId w:val="5"/>
      </w:numPr>
      <w:tabs>
        <w:tab w:val="clear" w:pos="1492"/>
        <w:tab w:val="num" w:pos="360"/>
      </w:tabs>
      <w:ind w:left="360"/>
    </w:pPr>
  </w:style>
  <w:style w:type="paragraph" w:styleId="Listanumerowana2">
    <w:name w:val="List Number 2"/>
    <w:basedOn w:val="Normalny"/>
    <w:uiPriority w:val="99"/>
    <w:semiHidden/>
    <w:rsid w:val="00CC2A24"/>
    <w:pPr>
      <w:numPr>
        <w:numId w:val="6"/>
      </w:numPr>
      <w:tabs>
        <w:tab w:val="clear" w:pos="360"/>
        <w:tab w:val="num" w:pos="643"/>
      </w:tabs>
      <w:ind w:left="643"/>
    </w:pPr>
  </w:style>
  <w:style w:type="paragraph" w:styleId="Listanumerowana3">
    <w:name w:val="List Number 3"/>
    <w:basedOn w:val="Normalny"/>
    <w:uiPriority w:val="99"/>
    <w:semiHidden/>
    <w:rsid w:val="00CC2A24"/>
    <w:pPr>
      <w:numPr>
        <w:numId w:val="7"/>
      </w:numPr>
      <w:tabs>
        <w:tab w:val="clear" w:pos="643"/>
        <w:tab w:val="num" w:pos="926"/>
      </w:tabs>
      <w:ind w:left="926"/>
    </w:pPr>
  </w:style>
  <w:style w:type="paragraph" w:styleId="Listanumerowana4">
    <w:name w:val="List Number 4"/>
    <w:basedOn w:val="Normalny"/>
    <w:uiPriority w:val="99"/>
    <w:semiHidden/>
    <w:rsid w:val="00CC2A24"/>
    <w:pPr>
      <w:numPr>
        <w:numId w:val="8"/>
      </w:numPr>
      <w:tabs>
        <w:tab w:val="clear" w:pos="926"/>
        <w:tab w:val="num" w:pos="1209"/>
      </w:tabs>
      <w:ind w:left="1209"/>
    </w:pPr>
  </w:style>
  <w:style w:type="paragraph" w:styleId="Listanumerowana5">
    <w:name w:val="List Number 5"/>
    <w:basedOn w:val="Normalny"/>
    <w:uiPriority w:val="99"/>
    <w:semiHidden/>
    <w:rsid w:val="00CC2A24"/>
    <w:pPr>
      <w:numPr>
        <w:numId w:val="9"/>
      </w:numPr>
      <w:tabs>
        <w:tab w:val="clear" w:pos="1209"/>
        <w:tab w:val="num" w:pos="1492"/>
      </w:tabs>
      <w:ind w:left="1492"/>
    </w:pPr>
  </w:style>
  <w:style w:type="paragraph" w:styleId="Tekstmakra">
    <w:name w:val="macro"/>
    <w:link w:val="TekstmakraZnak"/>
    <w:uiPriority w:val="99"/>
    <w:semiHidden/>
    <w:rsid w:val="00CC2A24"/>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en-US" w:eastAsia="en-US"/>
    </w:rPr>
  </w:style>
  <w:style w:type="character" w:customStyle="1" w:styleId="TekstmakraZnak">
    <w:name w:val="Tekst makra Znak"/>
    <w:link w:val="Tekstmakra"/>
    <w:uiPriority w:val="99"/>
    <w:semiHidden/>
    <w:locked/>
    <w:rsid w:val="00CC2A24"/>
    <w:rPr>
      <w:rFonts w:ascii="Consolas" w:eastAsia="MS Mincho" w:hAnsi="Consolas" w:cs="Consolas"/>
      <w:lang w:val="en-US" w:eastAsia="en-US"/>
    </w:rPr>
  </w:style>
  <w:style w:type="table" w:styleId="redniasiatka1">
    <w:name w:val="Medium Grid 1"/>
    <w:basedOn w:val="Standardowy"/>
    <w:uiPriority w:val="99"/>
    <w:semiHidden/>
    <w:rsid w:val="00CC2A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CC2A24"/>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CC2A24"/>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CC2A24"/>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CC2A24"/>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CC2A24"/>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CC2A24"/>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CC2A24"/>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CC2A24"/>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CC2A24"/>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CC2A24"/>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CC2A24"/>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CC2A24"/>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CC2A24"/>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CC2A24"/>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CC2A24"/>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CC2A24"/>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CC2A24"/>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CC2A24"/>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CC2A24"/>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CC2A24"/>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CC2A24"/>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CC2A24"/>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CC2A24"/>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CC2A24"/>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CC2A24"/>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CC2A24"/>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CC2A24"/>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CC2A24"/>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CC2A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CC2A24"/>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CC2A24"/>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CC2A24"/>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CC2A24"/>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CC2A24"/>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CC2A24"/>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CC2A24"/>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CC2A24"/>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CC2A24"/>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CC2A24"/>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CC2A24"/>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CC2A24"/>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CC2A24"/>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CC2A24"/>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NagwekwiadomociZnak">
    <w:name w:val="Nagłówek wiadomości Znak"/>
    <w:link w:val="Nagwekwiadomoci"/>
    <w:uiPriority w:val="99"/>
    <w:semiHidden/>
    <w:locked/>
    <w:rsid w:val="00CC2A24"/>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CC2A24"/>
  </w:style>
  <w:style w:type="paragraph" w:styleId="Wcicienormalne">
    <w:name w:val="Normal Indent"/>
    <w:basedOn w:val="Normalny"/>
    <w:uiPriority w:val="99"/>
    <w:semiHidden/>
    <w:rsid w:val="00CC2A24"/>
    <w:pPr>
      <w:ind w:left="720"/>
    </w:pPr>
  </w:style>
  <w:style w:type="character" w:styleId="Tekstzastpczy">
    <w:name w:val="Placeholder Text"/>
    <w:uiPriority w:val="99"/>
    <w:semiHidden/>
    <w:rsid w:val="005758F7"/>
    <w:rPr>
      <w:color w:val="auto"/>
      <w:shd w:val="clear" w:color="auto" w:fill="DFDFDF"/>
    </w:rPr>
  </w:style>
  <w:style w:type="paragraph" w:styleId="Zwykytekst">
    <w:name w:val="Plain Text"/>
    <w:basedOn w:val="Normalny"/>
    <w:link w:val="ZwykytekstZnak"/>
    <w:uiPriority w:val="99"/>
    <w:semiHidden/>
    <w:rsid w:val="00CC2A24"/>
    <w:rPr>
      <w:rFonts w:ascii="Consolas" w:hAnsi="Consolas" w:cs="Consolas"/>
      <w:sz w:val="21"/>
      <w:szCs w:val="21"/>
    </w:rPr>
  </w:style>
  <w:style w:type="character" w:customStyle="1" w:styleId="ZwykytekstZnak">
    <w:name w:val="Zwykły tekst Znak"/>
    <w:link w:val="Zwykytekst"/>
    <w:uiPriority w:val="99"/>
    <w:semiHidden/>
    <w:locked/>
    <w:rsid w:val="00CC2A24"/>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CC2A24"/>
  </w:style>
  <w:style w:type="character" w:customStyle="1" w:styleId="ZwrotgrzecznociowyZnak">
    <w:name w:val="Zwrot grzecznościowy Znak"/>
    <w:link w:val="Zwrotgrzecznociowy"/>
    <w:uiPriority w:val="99"/>
    <w:semiHidden/>
    <w:locked/>
    <w:rsid w:val="00CC2A24"/>
    <w:rPr>
      <w:rFonts w:eastAsia="MS Mincho"/>
      <w:sz w:val="24"/>
      <w:szCs w:val="24"/>
    </w:rPr>
  </w:style>
  <w:style w:type="paragraph" w:styleId="Podpis">
    <w:name w:val="Signature"/>
    <w:basedOn w:val="Normalny"/>
    <w:link w:val="PodpisZnak"/>
    <w:uiPriority w:val="99"/>
    <w:semiHidden/>
    <w:rsid w:val="00CC2A24"/>
    <w:pPr>
      <w:ind w:left="4252"/>
    </w:pPr>
  </w:style>
  <w:style w:type="character" w:customStyle="1" w:styleId="PodpisZnak">
    <w:name w:val="Podpis Znak"/>
    <w:link w:val="Podpis"/>
    <w:uiPriority w:val="99"/>
    <w:semiHidden/>
    <w:locked/>
    <w:rsid w:val="00CC2A24"/>
    <w:rPr>
      <w:rFonts w:eastAsia="MS Mincho"/>
      <w:sz w:val="24"/>
      <w:szCs w:val="24"/>
    </w:rPr>
  </w:style>
  <w:style w:type="table" w:styleId="Tabela-Efekty3W1">
    <w:name w:val="Table 3D effects 1"/>
    <w:basedOn w:val="Standardowy"/>
    <w:uiPriority w:val="99"/>
    <w:semiHidden/>
    <w:rsid w:val="00CC2A2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CC2A2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CC2A2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CC2A24"/>
    <w:pPr>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CC2A24"/>
    <w:pPr>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CC2A2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CC2A24"/>
    <w:pPr>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CC2A2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CC2A2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CC2A2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CC2A2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CC2A2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CC2A2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CC2A2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CC2A2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CC2A2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CC2A2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CC2A2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CC2A24"/>
    <w:pPr>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CC2A2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CC2A24"/>
    <w:pPr>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CC2A2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CC2A2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CC2A2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CC2A2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CC2A2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CC2A2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CC2A24"/>
    <w:pPr>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CC2A2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CC2A2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CC2A2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CC2A2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CC2A2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CC2A24"/>
    <w:pPr>
      <w:ind w:left="240" w:hanging="240"/>
    </w:pPr>
  </w:style>
  <w:style w:type="paragraph" w:styleId="Spisilustracji">
    <w:name w:val="table of figures"/>
    <w:basedOn w:val="Normalny"/>
    <w:next w:val="Normalny"/>
    <w:uiPriority w:val="99"/>
    <w:semiHidden/>
    <w:rsid w:val="00CC2A24"/>
  </w:style>
  <w:style w:type="table" w:styleId="Tabela-Profesjonalny">
    <w:name w:val="Table Professional"/>
    <w:basedOn w:val="Standardowy"/>
    <w:uiPriority w:val="99"/>
    <w:semiHidden/>
    <w:rsid w:val="00CC2A2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CC2A24"/>
    <w:pPr>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CC2A2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CC2A24"/>
    <w:pPr>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CC2A2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CC2A2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CC2A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CC2A2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CC2A2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CC2A2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5758F7"/>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5758F7"/>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CC2A24"/>
    <w:pPr>
      <w:spacing w:after="100"/>
      <w:ind w:left="1680"/>
    </w:pPr>
  </w:style>
  <w:style w:type="paragraph" w:styleId="Spistreci9">
    <w:name w:val="toc 9"/>
    <w:basedOn w:val="Normalny"/>
    <w:next w:val="Normalny"/>
    <w:autoRedefine/>
    <w:uiPriority w:val="99"/>
    <w:semiHidden/>
    <w:rsid w:val="00CC2A24"/>
    <w:pPr>
      <w:spacing w:after="100"/>
      <w:ind w:left="1920"/>
    </w:pPr>
  </w:style>
  <w:style w:type="paragraph" w:customStyle="1" w:styleId="DecHTitle">
    <w:name w:val="Dec_H_Title"/>
    <w:basedOn w:val="ECHRTitleCentre1"/>
    <w:uiPriority w:val="99"/>
    <w:semiHidden/>
    <w:rsid w:val="005758F7"/>
  </w:style>
  <w:style w:type="paragraph" w:customStyle="1" w:styleId="DecList">
    <w:name w:val="Dec_List"/>
    <w:basedOn w:val="Normalny"/>
    <w:uiPriority w:val="99"/>
    <w:semiHidden/>
    <w:rsid w:val="005758F7"/>
    <w:pPr>
      <w:spacing w:before="240"/>
      <w:ind w:left="284"/>
    </w:pPr>
  </w:style>
  <w:style w:type="paragraph" w:customStyle="1" w:styleId="ECHRFooter">
    <w:name w:val="ECHR_Footer"/>
    <w:aliases w:val="Footer_ECHR"/>
    <w:basedOn w:val="Stopka"/>
    <w:uiPriority w:val="99"/>
    <w:rsid w:val="005758F7"/>
    <w:pPr>
      <w:jc w:val="left"/>
    </w:pPr>
    <w:rPr>
      <w:sz w:val="8"/>
      <w:szCs w:val="8"/>
    </w:rPr>
  </w:style>
  <w:style w:type="paragraph" w:customStyle="1" w:styleId="ECHRFooterLine">
    <w:name w:val="ECHR_Footer_Line"/>
    <w:aliases w:val="Footer_Line"/>
    <w:basedOn w:val="Normalny"/>
    <w:next w:val="ECHRFooter"/>
    <w:uiPriority w:val="99"/>
    <w:rsid w:val="005758F7"/>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ny"/>
    <w:next w:val="ECHRPara"/>
    <w:uiPriority w:val="99"/>
    <w:rsid w:val="005758F7"/>
    <w:pPr>
      <w:spacing w:after="240"/>
      <w:jc w:val="center"/>
      <w:outlineLvl w:val="0"/>
    </w:pPr>
  </w:style>
  <w:style w:type="paragraph" w:customStyle="1" w:styleId="JuAppQuestion">
    <w:name w:val="Ju_App_Question"/>
    <w:basedOn w:val="Normalny"/>
    <w:uiPriority w:val="99"/>
    <w:rsid w:val="005758F7"/>
    <w:pPr>
      <w:tabs>
        <w:tab w:val="num" w:pos="720"/>
      </w:tabs>
      <w:ind w:left="720" w:hanging="360"/>
      <w:jc w:val="left"/>
    </w:pPr>
    <w:rPr>
      <w:b/>
      <w:bCs/>
    </w:rPr>
  </w:style>
  <w:style w:type="paragraph" w:customStyle="1" w:styleId="JuHeaderLandscape">
    <w:name w:val="Ju_Header_Landscape"/>
    <w:basedOn w:val="ECHRHeader"/>
    <w:uiPriority w:val="99"/>
    <w:rsid w:val="005758F7"/>
    <w:pPr>
      <w:tabs>
        <w:tab w:val="clear" w:pos="3686"/>
        <w:tab w:val="clear" w:pos="7371"/>
        <w:tab w:val="center" w:pos="6146"/>
        <w:tab w:val="right" w:pos="12293"/>
      </w:tabs>
    </w:pPr>
  </w:style>
  <w:style w:type="paragraph" w:customStyle="1" w:styleId="JuTitle">
    <w:name w:val="Ju_Title"/>
    <w:basedOn w:val="Normalny"/>
    <w:next w:val="ECHRPara"/>
    <w:uiPriority w:val="99"/>
    <w:rsid w:val="005758F7"/>
    <w:pPr>
      <w:spacing w:before="720" w:after="240"/>
      <w:jc w:val="center"/>
      <w:outlineLvl w:val="0"/>
    </w:pPr>
    <w:rPr>
      <w:b/>
      <w:bCs/>
      <w:caps/>
    </w:rPr>
  </w:style>
  <w:style w:type="character" w:customStyle="1" w:styleId="JuNames0">
    <w:name w:val="Ju_Names"/>
    <w:uiPriority w:val="99"/>
    <w:rsid w:val="00921CFE"/>
    <w:rPr>
      <w:smallCaps/>
    </w:rPr>
  </w:style>
  <w:style w:type="paragraph" w:styleId="Nagweknotatki">
    <w:name w:val="Note Heading"/>
    <w:basedOn w:val="Normalny"/>
    <w:next w:val="Normalny"/>
    <w:link w:val="NagweknotatkiZnak"/>
    <w:uiPriority w:val="99"/>
    <w:semiHidden/>
    <w:rsid w:val="00921CFE"/>
  </w:style>
  <w:style w:type="character" w:customStyle="1" w:styleId="NagweknotatkiZnak">
    <w:name w:val="Nagłówek notatki Znak"/>
    <w:link w:val="Nagweknotatki"/>
    <w:uiPriority w:val="99"/>
    <w:semiHidden/>
    <w:locked/>
    <w:rsid w:val="001D7382"/>
    <w:rPr>
      <w:rFonts w:eastAsia="MS Mincho"/>
      <w:sz w:val="24"/>
      <w:szCs w:val="24"/>
      <w:lang w:val="en-GB" w:eastAsia="en-US"/>
    </w:rPr>
  </w:style>
  <w:style w:type="character" w:customStyle="1" w:styleId="ECHRParaChar">
    <w:name w:val="ECHR_Para Char"/>
    <w:aliases w:val="Ju_Para Char"/>
    <w:link w:val="ECHRPara"/>
    <w:uiPriority w:val="99"/>
    <w:locked/>
    <w:rsid w:val="00921CFE"/>
    <w:rPr>
      <w:rFonts w:eastAsia="MS Mincho"/>
      <w:sz w:val="24"/>
      <w:szCs w:val="24"/>
      <w:lang w:val="en-GB"/>
    </w:rPr>
  </w:style>
  <w:style w:type="paragraph" w:customStyle="1" w:styleId="ECHRHeaderRefIt">
    <w:name w:val="ECHR_Header_Ref_It"/>
    <w:aliases w:val="Ref_Ital"/>
    <w:basedOn w:val="Normalny"/>
    <w:next w:val="Normalny"/>
    <w:uiPriority w:val="99"/>
    <w:rsid w:val="00921CFE"/>
    <w:pPr>
      <w:jc w:val="right"/>
    </w:pPr>
    <w:rPr>
      <w:rFonts w:eastAsia="Times New Roman"/>
      <w:i/>
      <w:iCs/>
      <w:sz w:val="20"/>
      <w:szCs w:val="20"/>
    </w:rPr>
  </w:style>
  <w:style w:type="paragraph" w:styleId="Poprawka">
    <w:name w:val="Revision"/>
    <w:hidden/>
    <w:uiPriority w:val="99"/>
    <w:semiHidden/>
    <w:rsid w:val="00921CFE"/>
    <w:rPr>
      <w:sz w:val="24"/>
      <w:szCs w:val="24"/>
      <w:lang w:val="en-GB" w:eastAsia="fr-FR"/>
    </w:rPr>
  </w:style>
  <w:style w:type="paragraph" w:customStyle="1" w:styleId="NormalJustified">
    <w:name w:val="Normal_Justified"/>
    <w:basedOn w:val="Normalny"/>
    <w:uiPriority w:val="99"/>
    <w:semiHidden/>
    <w:rsid w:val="00921CFE"/>
    <w:rPr>
      <w:rFonts w:eastAsia="Times New Roman"/>
      <w:sz w:val="22"/>
      <w:szCs w:val="22"/>
    </w:rPr>
  </w:style>
  <w:style w:type="paragraph" w:customStyle="1" w:styleId="ECHRBullet1">
    <w:name w:val="ECHR_Bullet_1"/>
    <w:aliases w:val="Bul_1"/>
    <w:basedOn w:val="NormalJustified"/>
    <w:uiPriority w:val="99"/>
    <w:rsid w:val="00921CFE"/>
    <w:pPr>
      <w:numPr>
        <w:numId w:val="24"/>
      </w:numPr>
      <w:spacing w:before="60" w:after="60"/>
    </w:pPr>
    <w:rPr>
      <w:rFonts w:eastAsia="MS Mincho"/>
    </w:rPr>
  </w:style>
  <w:style w:type="paragraph" w:customStyle="1" w:styleId="ECHRBullet2">
    <w:name w:val="ECHR_Bullet_2"/>
    <w:aliases w:val="Bul_2"/>
    <w:basedOn w:val="ECHRBullet1"/>
    <w:uiPriority w:val="99"/>
    <w:rsid w:val="00921CFE"/>
    <w:pPr>
      <w:numPr>
        <w:ilvl w:val="1"/>
      </w:numPr>
      <w:tabs>
        <w:tab w:val="num" w:pos="643"/>
        <w:tab w:val="num" w:pos="1209"/>
        <w:tab w:val="num" w:pos="1492"/>
      </w:tabs>
      <w:ind w:hanging="360"/>
    </w:pPr>
  </w:style>
  <w:style w:type="paragraph" w:customStyle="1" w:styleId="ECHRBullet3">
    <w:name w:val="ECHR_Bullet_3"/>
    <w:aliases w:val="Bul_3"/>
    <w:basedOn w:val="ECHRBullet2"/>
    <w:uiPriority w:val="99"/>
    <w:rsid w:val="00921CFE"/>
    <w:pPr>
      <w:numPr>
        <w:ilvl w:val="2"/>
      </w:numPr>
      <w:tabs>
        <w:tab w:val="num" w:pos="643"/>
        <w:tab w:val="num" w:pos="1134"/>
      </w:tabs>
      <w:ind w:hanging="360"/>
    </w:pPr>
  </w:style>
  <w:style w:type="paragraph" w:customStyle="1" w:styleId="ECHRBullet4">
    <w:name w:val="ECHR_Bullet_4"/>
    <w:aliases w:val="Bul_4"/>
    <w:basedOn w:val="ECHRBullet3"/>
    <w:uiPriority w:val="99"/>
    <w:rsid w:val="00921CFE"/>
    <w:pPr>
      <w:numPr>
        <w:ilvl w:val="3"/>
      </w:numPr>
      <w:tabs>
        <w:tab w:val="clear" w:pos="1418"/>
        <w:tab w:val="num" w:pos="643"/>
        <w:tab w:val="num" w:pos="1134"/>
      </w:tabs>
      <w:ind w:hanging="360"/>
    </w:pPr>
  </w:style>
  <w:style w:type="paragraph" w:customStyle="1" w:styleId="ECHRConfidential">
    <w:name w:val="ECHR_Confidential"/>
    <w:aliases w:val="Confidential"/>
    <w:basedOn w:val="ECHRPara"/>
    <w:next w:val="ECHRPara"/>
    <w:uiPriority w:val="99"/>
    <w:rsid w:val="00921CFE"/>
    <w:pPr>
      <w:ind w:firstLine="0"/>
      <w:jc w:val="right"/>
    </w:pPr>
    <w:rPr>
      <w:rFonts w:eastAsia="Times New Roman"/>
      <w:color w:val="C00000"/>
      <w:sz w:val="20"/>
      <w:szCs w:val="20"/>
    </w:rPr>
  </w:style>
  <w:style w:type="paragraph" w:customStyle="1" w:styleId="ECHRCoverTitle1">
    <w:name w:val="ECHR_Cover_Title_1"/>
    <w:aliases w:val="Cover_1"/>
    <w:basedOn w:val="Normalny"/>
    <w:next w:val="Normalny"/>
    <w:uiPriority w:val="99"/>
    <w:rsid w:val="00921CFE"/>
    <w:pPr>
      <w:spacing w:before="840"/>
      <w:jc w:val="center"/>
    </w:pPr>
    <w:rPr>
      <w:rFonts w:eastAsia="Times New Roman"/>
      <w:color w:val="2F2F2F"/>
      <w:sz w:val="36"/>
      <w:szCs w:val="36"/>
    </w:rPr>
  </w:style>
  <w:style w:type="paragraph" w:customStyle="1" w:styleId="ECHRCoverTitle2">
    <w:name w:val="ECHR_Cover_Title_2"/>
    <w:aliases w:val="Cover_2"/>
    <w:basedOn w:val="Normalny"/>
    <w:next w:val="Normalny"/>
    <w:uiPriority w:val="99"/>
    <w:rsid w:val="00921CFE"/>
    <w:pPr>
      <w:spacing w:before="600"/>
      <w:jc w:val="center"/>
    </w:pPr>
    <w:rPr>
      <w:rFonts w:eastAsia="Times New Roman"/>
      <w:color w:val="474747"/>
      <w:sz w:val="28"/>
      <w:szCs w:val="28"/>
    </w:rPr>
  </w:style>
  <w:style w:type="paragraph" w:customStyle="1" w:styleId="ECHRCoverTitle3">
    <w:name w:val="ECHR_Cover_Title_3"/>
    <w:aliases w:val="Cover_3"/>
    <w:basedOn w:val="Normalny"/>
    <w:next w:val="ECHRCoverTitle4"/>
    <w:uiPriority w:val="99"/>
    <w:rsid w:val="00921CFE"/>
    <w:pPr>
      <w:spacing w:before="1080" w:after="1080"/>
      <w:jc w:val="center"/>
    </w:pPr>
    <w:rPr>
      <w:rFonts w:eastAsia="Times New Roman"/>
      <w:b/>
      <w:bCs/>
      <w:color w:val="474747"/>
    </w:rPr>
  </w:style>
  <w:style w:type="paragraph" w:customStyle="1" w:styleId="ECHRCoverTitle4">
    <w:name w:val="ECHR_Cover_Title_4"/>
    <w:aliases w:val="Cover_4"/>
    <w:basedOn w:val="Normalny"/>
    <w:uiPriority w:val="99"/>
    <w:rsid w:val="00921CFE"/>
    <w:pPr>
      <w:tabs>
        <w:tab w:val="right" w:pos="7938"/>
      </w:tabs>
      <w:spacing w:before="120" w:after="120"/>
      <w:ind w:left="1134" w:right="1134"/>
      <w:jc w:val="left"/>
    </w:pPr>
    <w:rPr>
      <w:rFonts w:eastAsia="Times New Roman"/>
      <w:color w:val="2F2F2F"/>
      <w:sz w:val="22"/>
      <w:szCs w:val="22"/>
    </w:rPr>
  </w:style>
  <w:style w:type="paragraph" w:customStyle="1" w:styleId="ECHRDivisionName">
    <w:name w:val="ECHR_DivisionName"/>
    <w:aliases w:val="Div_Name"/>
    <w:basedOn w:val="Normalny"/>
    <w:link w:val="ECHRDivisionNameChar"/>
    <w:uiPriority w:val="99"/>
    <w:rsid w:val="00921CFE"/>
    <w:pPr>
      <w:jc w:val="center"/>
    </w:pPr>
    <w:rPr>
      <w:rFonts w:ascii="Arial Narrow" w:eastAsia="Times New Roman" w:hAnsi="Arial Narrow" w:cs="Arial Narrow"/>
      <w:i/>
      <w:iCs/>
      <w:color w:val="0072BC"/>
      <w:sz w:val="32"/>
      <w:szCs w:val="32"/>
    </w:rPr>
  </w:style>
  <w:style w:type="character" w:customStyle="1" w:styleId="ECHRDivisionNameChar">
    <w:name w:val="ECHR_DivisionName Char"/>
    <w:aliases w:val="Div_Name Char"/>
    <w:link w:val="ECHRDivisionName"/>
    <w:uiPriority w:val="99"/>
    <w:locked/>
    <w:rsid w:val="00921CFE"/>
    <w:rPr>
      <w:rFonts w:ascii="Arial Narrow" w:hAnsi="Arial Narrow" w:cs="Arial Narrow"/>
      <w:i/>
      <w:iCs/>
      <w:color w:val="0072BC"/>
      <w:sz w:val="32"/>
      <w:szCs w:val="32"/>
      <w:lang w:val="en-GB"/>
    </w:rPr>
  </w:style>
  <w:style w:type="paragraph" w:customStyle="1" w:styleId="ECHRFooterLineLandscape">
    <w:name w:val="ECHR_Footer_Line_Landscape"/>
    <w:aliases w:val="Footer_Line_Landscape"/>
    <w:basedOn w:val="ECHRFooterLine"/>
    <w:uiPriority w:val="99"/>
    <w:rsid w:val="00921CFE"/>
    <w:pPr>
      <w:pBdr>
        <w:top w:val="single" w:sz="8" w:space="1" w:color="7F7F7F"/>
      </w:pBdr>
      <w:tabs>
        <w:tab w:val="clear" w:pos="4536"/>
        <w:tab w:val="clear" w:pos="9696"/>
        <w:tab w:val="center" w:pos="6787"/>
        <w:tab w:val="right" w:pos="14640"/>
      </w:tabs>
    </w:pPr>
    <w:rPr>
      <w:rFonts w:eastAsia="Times New Roman"/>
      <w:color w:val="474747"/>
      <w:sz w:val="22"/>
      <w:szCs w:val="22"/>
    </w:rPr>
  </w:style>
  <w:style w:type="paragraph" w:customStyle="1" w:styleId="ECHRHeaderDate">
    <w:name w:val="ECHR_Header_Date"/>
    <w:aliases w:val="Ref_Date"/>
    <w:basedOn w:val="Normalny"/>
    <w:uiPriority w:val="99"/>
    <w:rsid w:val="00921CFE"/>
    <w:pPr>
      <w:jc w:val="right"/>
    </w:pPr>
    <w:rPr>
      <w:rFonts w:eastAsia="Times New Roman"/>
      <w:sz w:val="20"/>
      <w:szCs w:val="20"/>
    </w:rPr>
  </w:style>
  <w:style w:type="paragraph" w:customStyle="1" w:styleId="ECHRHeaderLandscape">
    <w:name w:val="ECHR_Header_Landscape"/>
    <w:aliases w:val="Header_Landscape"/>
    <w:basedOn w:val="Nagwek"/>
    <w:uiPriority w:val="99"/>
    <w:rsid w:val="00921CFE"/>
    <w:pPr>
      <w:tabs>
        <w:tab w:val="clear" w:pos="4536"/>
        <w:tab w:val="clear" w:pos="9072"/>
        <w:tab w:val="center" w:pos="6787"/>
        <w:tab w:val="right" w:pos="14640"/>
      </w:tabs>
      <w:ind w:left="-680" w:right="-680"/>
      <w:jc w:val="left"/>
    </w:pPr>
    <w:rPr>
      <w:sz w:val="22"/>
      <w:szCs w:val="22"/>
    </w:rPr>
  </w:style>
  <w:style w:type="paragraph" w:customStyle="1" w:styleId="ECHRLine">
    <w:name w:val="ECHR_Line"/>
    <w:basedOn w:val="NormalJustified"/>
    <w:next w:val="Normalny"/>
    <w:uiPriority w:val="99"/>
    <w:rsid w:val="00921CFE"/>
    <w:pPr>
      <w:pBdr>
        <w:bottom w:val="single" w:sz="12" w:space="1" w:color="949494"/>
      </w:pBdr>
      <w:spacing w:after="120"/>
    </w:pPr>
    <w:rPr>
      <w:sz w:val="12"/>
      <w:szCs w:val="12"/>
    </w:rPr>
  </w:style>
  <w:style w:type="paragraph" w:customStyle="1" w:styleId="ECHRNumberedList1">
    <w:name w:val="ECHR_Numbered_List_1"/>
    <w:aliases w:val="Num_1"/>
    <w:basedOn w:val="Normalny"/>
    <w:uiPriority w:val="99"/>
    <w:rsid w:val="00921CFE"/>
    <w:pPr>
      <w:numPr>
        <w:numId w:val="25"/>
      </w:numPr>
      <w:spacing w:before="60" w:after="60"/>
      <w:jc w:val="left"/>
    </w:pPr>
    <w:rPr>
      <w:sz w:val="22"/>
      <w:szCs w:val="22"/>
    </w:rPr>
  </w:style>
  <w:style w:type="paragraph" w:customStyle="1" w:styleId="ECHRNumberedList2">
    <w:name w:val="ECHR_Numbered_List_2"/>
    <w:aliases w:val="Num_2"/>
    <w:basedOn w:val="ECHRNumberedList1"/>
    <w:uiPriority w:val="99"/>
    <w:rsid w:val="00921CFE"/>
    <w:pPr>
      <w:numPr>
        <w:ilvl w:val="1"/>
      </w:numPr>
      <w:tabs>
        <w:tab w:val="num" w:pos="926"/>
        <w:tab w:val="num" w:pos="1492"/>
      </w:tabs>
      <w:ind w:hanging="360"/>
    </w:pPr>
  </w:style>
  <w:style w:type="paragraph" w:customStyle="1" w:styleId="ECHRNumberedList3">
    <w:name w:val="ECHR_Numbered_List_3"/>
    <w:aliases w:val="Num_3"/>
    <w:basedOn w:val="ECHRNumberedList2"/>
    <w:uiPriority w:val="99"/>
    <w:rsid w:val="00921CFE"/>
    <w:pPr>
      <w:numPr>
        <w:ilvl w:val="2"/>
      </w:numPr>
      <w:tabs>
        <w:tab w:val="num" w:pos="926"/>
        <w:tab w:val="num" w:pos="1361"/>
      </w:tabs>
      <w:ind w:hanging="360"/>
    </w:pPr>
  </w:style>
  <w:style w:type="paragraph" w:customStyle="1" w:styleId="ECHRParaSpaced">
    <w:name w:val="ECHR_Para_Spaced"/>
    <w:aliases w:val="Para_Spaced"/>
    <w:basedOn w:val="ECHRPara"/>
    <w:uiPriority w:val="99"/>
    <w:rsid w:val="00921CFE"/>
    <w:pPr>
      <w:spacing w:before="120" w:after="120"/>
      <w:ind w:firstLine="0"/>
    </w:pPr>
    <w:rPr>
      <w:rFonts w:eastAsia="Times New Roman"/>
      <w:sz w:val="22"/>
      <w:szCs w:val="22"/>
    </w:rPr>
  </w:style>
  <w:style w:type="character" w:customStyle="1" w:styleId="ECHRRed">
    <w:name w:val="ECHR_Red"/>
    <w:aliases w:val="Red"/>
    <w:uiPriority w:val="99"/>
    <w:rsid w:val="00921CFE"/>
    <w:rPr>
      <w:color w:val="C00000"/>
    </w:rPr>
  </w:style>
  <w:style w:type="paragraph" w:customStyle="1" w:styleId="ECHRSpacer">
    <w:name w:val="ECHR_Spacer"/>
    <w:basedOn w:val="Normalny"/>
    <w:uiPriority w:val="99"/>
    <w:rsid w:val="00921CFE"/>
    <w:pPr>
      <w:jc w:val="left"/>
    </w:pPr>
    <w:rPr>
      <w:rFonts w:eastAsia="Times New Roman"/>
      <w:sz w:val="4"/>
      <w:szCs w:val="4"/>
    </w:rPr>
  </w:style>
  <w:style w:type="paragraph" w:customStyle="1" w:styleId="ECHRTitle2">
    <w:name w:val="ECHR_Title_2"/>
    <w:aliases w:val="Title_L_2"/>
    <w:basedOn w:val="Normalny"/>
    <w:next w:val="ECHRParaSpaced"/>
    <w:uiPriority w:val="99"/>
    <w:rsid w:val="00921CFE"/>
    <w:pPr>
      <w:keepNext/>
      <w:keepLines/>
      <w:spacing w:before="240"/>
      <w:jc w:val="left"/>
    </w:pPr>
    <w:rPr>
      <w:rFonts w:eastAsia="Times New Roman"/>
      <w:b/>
      <w:bCs/>
      <w:color w:val="474747"/>
      <w:sz w:val="28"/>
      <w:szCs w:val="28"/>
    </w:rPr>
  </w:style>
  <w:style w:type="paragraph" w:customStyle="1" w:styleId="ECHRTitle3">
    <w:name w:val="ECHR_Title_3"/>
    <w:aliases w:val="Title_L_3"/>
    <w:basedOn w:val="Normalny"/>
    <w:next w:val="ECHRParaSpaced"/>
    <w:uiPriority w:val="99"/>
    <w:rsid w:val="00921CFE"/>
    <w:pPr>
      <w:keepNext/>
      <w:keepLines/>
      <w:spacing w:before="240"/>
      <w:jc w:val="left"/>
    </w:pPr>
    <w:rPr>
      <w:rFonts w:eastAsia="Times New Roman"/>
      <w:b/>
      <w:bCs/>
      <w:color w:val="474747"/>
    </w:rPr>
  </w:style>
  <w:style w:type="paragraph" w:customStyle="1" w:styleId="ECHRTitleCentreTOC1">
    <w:name w:val="ECHR_Title_Centre_TOC_1"/>
    <w:aliases w:val="Title_C_TOC"/>
    <w:basedOn w:val="ECHRTitleCentre1"/>
    <w:next w:val="ECHRHeading1"/>
    <w:uiPriority w:val="99"/>
    <w:rsid w:val="00921CFE"/>
    <w:pPr>
      <w:spacing w:before="240" w:after="0"/>
    </w:pPr>
    <w:rPr>
      <w:rFonts w:eastAsia="Times New Roman"/>
      <w:b/>
      <w:bCs/>
      <w:color w:val="2F2F2F"/>
      <w:sz w:val="32"/>
      <w:szCs w:val="32"/>
    </w:rPr>
  </w:style>
  <w:style w:type="paragraph" w:customStyle="1" w:styleId="ECHRTitleTOC1">
    <w:name w:val="ECHR_Title_TOC_1"/>
    <w:aliases w:val="Title_L_TOC"/>
    <w:basedOn w:val="ECHRTitle1"/>
    <w:next w:val="ECHRHeading1"/>
    <w:uiPriority w:val="99"/>
    <w:rsid w:val="00921CFE"/>
    <w:pPr>
      <w:spacing w:before="240" w:after="0"/>
      <w:jc w:val="left"/>
    </w:pPr>
    <w:rPr>
      <w:rFonts w:eastAsia="Times New Roman"/>
      <w:b/>
      <w:bCs/>
      <w:color w:val="2F2F2F"/>
      <w:sz w:val="32"/>
      <w:szCs w:val="32"/>
    </w:rPr>
  </w:style>
  <w:style w:type="paragraph" w:customStyle="1" w:styleId="ECHRParaIndent">
    <w:name w:val="ECHR_Para_Indent"/>
    <w:aliases w:val="Para_Indent"/>
    <w:basedOn w:val="ECHRParaSpaced"/>
    <w:uiPriority w:val="99"/>
    <w:rsid w:val="00921CFE"/>
    <w:pPr>
      <w:ind w:left="567"/>
    </w:pPr>
  </w:style>
  <w:style w:type="paragraph" w:customStyle="1" w:styleId="ECHRParaHanging">
    <w:name w:val="ECHR_Para_Hanging"/>
    <w:aliases w:val="Para_Hanging"/>
    <w:basedOn w:val="ECHRPara"/>
    <w:uiPriority w:val="99"/>
    <w:rsid w:val="00921CFE"/>
    <w:pPr>
      <w:ind w:left="567" w:hanging="567"/>
    </w:pPr>
    <w:rPr>
      <w:rFonts w:eastAsia="Times New Roman"/>
      <w:sz w:val="22"/>
      <w:szCs w:val="22"/>
    </w:rPr>
  </w:style>
  <w:style w:type="table" w:customStyle="1" w:styleId="ECHRTableGrey">
    <w:name w:val="ECHR_Table_Grey"/>
    <w:uiPriority w:val="99"/>
    <w:rsid w:val="00921CFE"/>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left w:w="108" w:type="dxa"/>
        <w:bottom w:w="85" w:type="dxa"/>
        <w:right w:w="108" w:type="dxa"/>
      </w:tblCellMar>
    </w:tblPr>
    <w:trPr>
      <w:jc w:val="center"/>
    </w:trPr>
    <w:tcPr>
      <w:shd w:val="clear" w:color="auto" w:fill="F8F8F8"/>
    </w:tcPr>
  </w:style>
  <w:style w:type="paragraph" w:customStyle="1" w:styleId="ECHRList1">
    <w:name w:val="ECHR_List_1"/>
    <w:aliases w:val="Num_Left_1"/>
    <w:basedOn w:val="NormalJustified"/>
    <w:uiPriority w:val="99"/>
    <w:rsid w:val="00921CFE"/>
    <w:pPr>
      <w:tabs>
        <w:tab w:val="num" w:pos="397"/>
      </w:tabs>
      <w:spacing w:before="60" w:after="60"/>
      <w:ind w:left="397" w:hanging="397"/>
    </w:pPr>
  </w:style>
  <w:style w:type="paragraph" w:customStyle="1" w:styleId="ECHRList2">
    <w:name w:val="ECHR_List_2"/>
    <w:aliases w:val="Num_Left_2"/>
    <w:basedOn w:val="ECHRList1"/>
    <w:uiPriority w:val="99"/>
    <w:rsid w:val="00921CFE"/>
    <w:pPr>
      <w:numPr>
        <w:ilvl w:val="1"/>
      </w:numPr>
      <w:tabs>
        <w:tab w:val="num" w:pos="397"/>
        <w:tab w:val="num" w:pos="794"/>
      </w:tabs>
      <w:ind w:left="794" w:hanging="397"/>
    </w:pPr>
  </w:style>
  <w:style w:type="paragraph" w:customStyle="1" w:styleId="ECHRList3">
    <w:name w:val="ECHR_List_3"/>
    <w:aliases w:val="Num_Left_3"/>
    <w:basedOn w:val="ECHRList2"/>
    <w:uiPriority w:val="99"/>
    <w:rsid w:val="00921CFE"/>
    <w:pPr>
      <w:numPr>
        <w:ilvl w:val="2"/>
      </w:numPr>
      <w:tabs>
        <w:tab w:val="num" w:pos="397"/>
        <w:tab w:val="num" w:pos="1191"/>
      </w:tabs>
      <w:ind w:left="1191" w:hanging="397"/>
    </w:pPr>
  </w:style>
  <w:style w:type="table" w:customStyle="1" w:styleId="ECHRTable2016">
    <w:name w:val="ECHR_Table_2016"/>
    <w:uiPriority w:val="99"/>
    <w:rsid w:val="00921CFE"/>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top w:w="0" w:type="dxa"/>
        <w:left w:w="108" w:type="dxa"/>
        <w:bottom w:w="0" w:type="dxa"/>
        <w:right w:w="108" w:type="dxa"/>
      </w:tblCellMar>
    </w:tblPr>
    <w:trPr>
      <w:jc w:val="center"/>
    </w:trPr>
  </w:style>
  <w:style w:type="paragraph" w:customStyle="1" w:styleId="ECHRList">
    <w:name w:val="ECHR_List"/>
    <w:aliases w:val="List_Simple"/>
    <w:basedOn w:val="Normalny"/>
    <w:uiPriority w:val="99"/>
    <w:rsid w:val="00921CFE"/>
    <w:pPr>
      <w:ind w:left="992" w:hanging="425"/>
      <w:jc w:val="left"/>
    </w:pPr>
    <w:rPr>
      <w:rFonts w:eastAsia="Times New Roman"/>
      <w:sz w:val="22"/>
      <w:szCs w:val="22"/>
      <w:lang w:val="en-US"/>
    </w:rPr>
  </w:style>
  <w:style w:type="character" w:customStyle="1" w:styleId="JuParaCar">
    <w:name w:val="Ju_Para Car"/>
    <w:uiPriority w:val="99"/>
    <w:rsid w:val="00921CFE"/>
    <w:rPr>
      <w:rFonts w:eastAsia="MS Mincho"/>
      <w:sz w:val="24"/>
      <w:szCs w:val="24"/>
      <w:lang w:val="en-US" w:eastAsia="en-US"/>
    </w:rPr>
  </w:style>
  <w:style w:type="character" w:customStyle="1" w:styleId="JuQuotChar">
    <w:name w:val="Ju_Quot Char"/>
    <w:link w:val="ECHRParaQuote"/>
    <w:uiPriority w:val="99"/>
    <w:locked/>
    <w:rsid w:val="00921CFE"/>
    <w:rPr>
      <w:rFonts w:eastAsia="MS Mincho"/>
      <w:sz w:val="20"/>
      <w:szCs w:val="20"/>
      <w:lang w:val="en-GB"/>
    </w:rPr>
  </w:style>
  <w:style w:type="paragraph" w:customStyle="1" w:styleId="s50c0b1c7">
    <w:name w:val="s50c0b1c7"/>
    <w:basedOn w:val="Normalny"/>
    <w:uiPriority w:val="99"/>
    <w:rsid w:val="00807FCB"/>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807FCB"/>
  </w:style>
  <w:style w:type="character" w:customStyle="1" w:styleId="sfbbfee58">
    <w:name w:val="sfbbfee58"/>
    <w:basedOn w:val="Domylnaczcionkaakapitu"/>
    <w:uiPriority w:val="99"/>
    <w:rsid w:val="00807FCB"/>
  </w:style>
  <w:style w:type="paragraph" w:customStyle="1" w:styleId="ClinContent">
    <w:name w:val="ClinContent"/>
    <w:basedOn w:val="Normalny"/>
    <w:uiPriority w:val="99"/>
    <w:rsid w:val="000213A7"/>
    <w:pPr>
      <w:spacing w:before="240"/>
    </w:pPr>
    <w:rPr>
      <w:rFonts w:ascii="Verdana" w:eastAsia="Times New Roman" w:hAnsi="Verdana" w:cs="Verdana"/>
      <w:sz w:val="20"/>
      <w:szCs w:val="20"/>
      <w:lang w:eastAsia="en-GB"/>
    </w:rPr>
  </w:style>
  <w:style w:type="character" w:customStyle="1" w:styleId="s4f807e54">
    <w:name w:val="s4f807e54"/>
    <w:uiPriority w:val="99"/>
    <w:rsid w:val="00205C1E"/>
  </w:style>
  <w:style w:type="numbering" w:customStyle="1" w:styleId="ECHRA1StyleList">
    <w:name w:val="ECHR_A1_Style_List"/>
    <w:rsid w:val="000766EA"/>
    <w:pPr>
      <w:numPr>
        <w:numId w:val="26"/>
      </w:numPr>
    </w:pPr>
  </w:style>
  <w:style w:type="numbering" w:styleId="Artykusekcja">
    <w:name w:val="Outline List 3"/>
    <w:basedOn w:val="Bezlisty"/>
    <w:uiPriority w:val="99"/>
    <w:semiHidden/>
    <w:unhideWhenUsed/>
    <w:locked/>
    <w:rsid w:val="000766EA"/>
    <w:pPr>
      <w:numPr>
        <w:numId w:val="23"/>
      </w:numPr>
    </w:pPr>
  </w:style>
  <w:style w:type="numbering" w:customStyle="1" w:styleId="ECHRA1StyleBulletedSquare">
    <w:name w:val="ECHR_A1_Style_Bulleted_Square"/>
    <w:rsid w:val="000766EA"/>
    <w:pPr>
      <w:numPr>
        <w:numId w:val="24"/>
      </w:numPr>
    </w:pPr>
  </w:style>
  <w:style w:type="numbering" w:customStyle="1" w:styleId="ECHRA1StyleNumberedList">
    <w:name w:val="ECHR_A1_Style_Numbered_List"/>
    <w:rsid w:val="000766EA"/>
    <w:pPr>
      <w:numPr>
        <w:numId w:val="25"/>
      </w:numPr>
    </w:pPr>
  </w:style>
  <w:style w:type="numbering" w:styleId="1ai">
    <w:name w:val="Outline List 1"/>
    <w:basedOn w:val="Bezlisty"/>
    <w:uiPriority w:val="99"/>
    <w:semiHidden/>
    <w:unhideWhenUsed/>
    <w:locked/>
    <w:rsid w:val="000766EA"/>
    <w:pPr>
      <w:numPr>
        <w:numId w:val="22"/>
      </w:numPr>
    </w:pPr>
  </w:style>
  <w:style w:type="numbering" w:styleId="111111">
    <w:name w:val="Outline List 2"/>
    <w:basedOn w:val="Bezlisty"/>
    <w:uiPriority w:val="99"/>
    <w:semiHidden/>
    <w:unhideWhenUsed/>
    <w:locked/>
    <w:rsid w:val="000766E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11956</Words>
  <Characters>71740</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2022-08-12T11:48:00Z</dcterms:created>
  <dcterms:modified xsi:type="dcterms:W3CDTF">2022-08-12T12:41:00Z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54012/10</vt:lpwstr>
  </property>
  <property fmtid="{D5CDD505-2E9C-101B-9397-08002B2CF9AE}" pid="4" name="CASEID">
    <vt:lpwstr>668006</vt:lpwstr>
  </property>
  <property fmtid="{D5CDD505-2E9C-101B-9397-08002B2CF9AE}" pid="5" name="ContentTypeId">
    <vt:lpwstr>0x010100558EB02BDB9E204AB350EDD385B68E10</vt:lpwstr>
  </property>
</Properties>
</file>